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90451">
      <w:pPr>
        <w:widowControl/>
        <w:shd w:val="clear" w:color="auto" w:fill="FFFFFF"/>
        <w:spacing w:line="560" w:lineRule="atLeast"/>
        <w:jc w:val="center"/>
        <w:rPr>
          <w:rFonts w:ascii="Times New Roman" w:hAnsi="Times New Roman" w:eastAsia="微软雅黑"/>
          <w:b/>
          <w:bCs/>
          <w:color w:val="333333"/>
          <w:kern w:val="0"/>
          <w:sz w:val="30"/>
          <w:szCs w:val="30"/>
        </w:rPr>
      </w:pPr>
      <w:r>
        <w:rPr>
          <w:rFonts w:hint="eastAsia" w:ascii="仿宋" w:hAnsi="仿宋" w:eastAsia="仿宋"/>
          <w:b/>
          <w:bCs/>
          <w:color w:val="000000"/>
          <w:kern w:val="0"/>
          <w:sz w:val="44"/>
          <w:szCs w:val="44"/>
        </w:rPr>
        <w:t>项目支出绩效评价报告</w:t>
      </w:r>
    </w:p>
    <w:p w14:paraId="5619389A">
      <w:pPr>
        <w:widowControl/>
        <w:shd w:val="clear" w:color="auto" w:fill="FFFFFF"/>
        <w:spacing w:line="560" w:lineRule="atLeast"/>
        <w:rPr>
          <w:rFonts w:ascii="Times New Roman" w:hAnsi="Times New Roman" w:eastAsia="微软雅黑"/>
          <w:color w:val="333333"/>
          <w:kern w:val="0"/>
          <w:sz w:val="30"/>
          <w:szCs w:val="30"/>
        </w:rPr>
      </w:pPr>
      <w:r>
        <w:rPr>
          <w:rFonts w:hint="eastAsia" w:ascii="宋体" w:hAnsi="宋体" w:cs="宋体"/>
          <w:color w:val="000000"/>
          <w:kern w:val="0"/>
          <w:sz w:val="32"/>
          <w:szCs w:val="32"/>
        </w:rPr>
        <w:t> </w:t>
      </w:r>
    </w:p>
    <w:p w14:paraId="734021BF">
      <w:pPr>
        <w:widowControl/>
        <w:shd w:val="clear" w:color="auto" w:fill="FFFFFF"/>
        <w:spacing w:line="560" w:lineRule="atLeast"/>
        <w:rPr>
          <w:rFonts w:ascii="Times New Roman" w:hAnsi="Times New Roman" w:eastAsia="微软雅黑"/>
          <w:color w:val="333333"/>
          <w:kern w:val="0"/>
          <w:sz w:val="30"/>
          <w:szCs w:val="30"/>
        </w:rPr>
      </w:pPr>
      <w:r>
        <w:rPr>
          <w:rFonts w:hint="eastAsia" w:ascii="宋体" w:hAnsi="宋体" w:cs="宋体"/>
          <w:color w:val="000000"/>
          <w:kern w:val="0"/>
          <w:sz w:val="32"/>
          <w:szCs w:val="32"/>
        </w:rPr>
        <w:t> </w:t>
      </w:r>
    </w:p>
    <w:p w14:paraId="22F70BD1">
      <w:pPr>
        <w:widowControl/>
        <w:shd w:val="clear" w:color="auto" w:fill="FFFFFF"/>
        <w:spacing w:line="560" w:lineRule="atLeast"/>
        <w:rPr>
          <w:rFonts w:ascii="Times New Roman" w:hAnsi="Times New Roman" w:eastAsia="微软雅黑"/>
          <w:color w:val="333333"/>
          <w:kern w:val="0"/>
          <w:sz w:val="30"/>
          <w:szCs w:val="30"/>
        </w:rPr>
      </w:pPr>
    </w:p>
    <w:p w14:paraId="50B960D5">
      <w:pPr>
        <w:widowControl/>
        <w:shd w:val="clear" w:color="auto" w:fill="FFFFFF"/>
        <w:spacing w:line="560" w:lineRule="atLeast"/>
        <w:rPr>
          <w:rFonts w:ascii="Times New Roman" w:hAnsi="Times New Roman" w:eastAsia="微软雅黑"/>
          <w:color w:val="333333"/>
          <w:kern w:val="0"/>
          <w:sz w:val="30"/>
          <w:szCs w:val="30"/>
        </w:rPr>
      </w:pPr>
      <w:r>
        <w:rPr>
          <w:rFonts w:hint="eastAsia" w:ascii="宋体" w:hAnsi="宋体" w:cs="宋体"/>
          <w:color w:val="000000"/>
          <w:kern w:val="0"/>
          <w:sz w:val="32"/>
          <w:szCs w:val="32"/>
        </w:rPr>
        <w:t> </w:t>
      </w:r>
    </w:p>
    <w:p w14:paraId="4A1A133A">
      <w:pPr>
        <w:widowControl/>
        <w:shd w:val="clear" w:color="auto" w:fill="FFFFFF"/>
        <w:spacing w:line="560" w:lineRule="atLeast"/>
        <w:rPr>
          <w:rFonts w:ascii="Times New Roman" w:hAnsi="Times New Roman" w:eastAsia="微软雅黑"/>
          <w:color w:val="333333"/>
          <w:kern w:val="0"/>
          <w:sz w:val="30"/>
          <w:szCs w:val="30"/>
        </w:rPr>
      </w:pPr>
      <w:r>
        <w:rPr>
          <w:rFonts w:hint="eastAsia" w:ascii="宋体" w:hAnsi="宋体" w:cs="宋体"/>
          <w:color w:val="000000"/>
          <w:kern w:val="0"/>
          <w:sz w:val="32"/>
          <w:szCs w:val="32"/>
        </w:rPr>
        <w:t> </w:t>
      </w:r>
    </w:p>
    <w:p w14:paraId="2345884F">
      <w:pPr>
        <w:widowControl/>
        <w:shd w:val="clear" w:color="auto" w:fill="FFFFFF"/>
        <w:spacing w:line="560" w:lineRule="atLeast"/>
        <w:rPr>
          <w:rFonts w:ascii="Times New Roman" w:hAnsi="Times New Roman" w:eastAsia="微软雅黑"/>
          <w:color w:val="333333"/>
          <w:kern w:val="0"/>
          <w:sz w:val="30"/>
          <w:szCs w:val="30"/>
        </w:rPr>
      </w:pPr>
    </w:p>
    <w:p w14:paraId="48E402C9">
      <w:pPr>
        <w:widowControl/>
        <w:shd w:val="clear" w:color="auto" w:fill="FFFFFF"/>
        <w:spacing w:line="560" w:lineRule="atLeast"/>
        <w:ind w:left="2477" w:leftChars="166" w:hanging="2136" w:hangingChars="600"/>
        <w:jc w:val="both"/>
        <w:rPr>
          <w:rFonts w:hint="eastAsia" w:ascii="仿宋" w:hAnsi="仿宋" w:eastAsia="仿宋" w:cs="仿宋"/>
          <w:b/>
          <w:bCs/>
          <w:color w:val="000000"/>
          <w:kern w:val="0"/>
          <w:sz w:val="36"/>
          <w:szCs w:val="36"/>
        </w:rPr>
      </w:pPr>
      <w:r>
        <w:rPr>
          <w:rFonts w:hint="eastAsia" w:ascii="仿宋" w:hAnsi="仿宋" w:eastAsia="仿宋" w:cs="仿宋"/>
          <w:b/>
          <w:bCs/>
          <w:color w:val="000000"/>
          <w:kern w:val="0"/>
          <w:sz w:val="36"/>
          <w:szCs w:val="36"/>
          <w:lang w:val="en-US" w:eastAsia="zh-CN"/>
        </w:rPr>
        <w:t>怀远县水利局</w:t>
      </w:r>
      <w:r>
        <w:rPr>
          <w:rFonts w:hint="eastAsia" w:ascii="仿宋" w:hAnsi="仿宋" w:eastAsia="仿宋" w:cs="仿宋"/>
          <w:b/>
          <w:bCs/>
          <w:color w:val="000000"/>
          <w:kern w:val="0"/>
          <w:sz w:val="36"/>
          <w:szCs w:val="36"/>
        </w:rPr>
        <w:t>202</w:t>
      </w:r>
      <w:r>
        <w:rPr>
          <w:rFonts w:hint="eastAsia" w:ascii="仿宋" w:hAnsi="仿宋" w:eastAsia="仿宋" w:cs="仿宋"/>
          <w:b/>
          <w:bCs/>
          <w:color w:val="000000"/>
          <w:kern w:val="0"/>
          <w:sz w:val="36"/>
          <w:szCs w:val="36"/>
          <w:lang w:val="en-US" w:eastAsia="zh-CN"/>
        </w:rPr>
        <w:t>3</w:t>
      </w:r>
      <w:r>
        <w:rPr>
          <w:rFonts w:hint="eastAsia" w:ascii="仿宋" w:hAnsi="仿宋" w:eastAsia="仿宋" w:cs="仿宋"/>
          <w:b/>
          <w:bCs/>
          <w:color w:val="000000"/>
          <w:kern w:val="0"/>
          <w:sz w:val="36"/>
          <w:szCs w:val="36"/>
        </w:rPr>
        <w:t>年度</w:t>
      </w:r>
      <w:r>
        <w:rPr>
          <w:rFonts w:hint="eastAsia" w:ascii="仿宋" w:hAnsi="仿宋" w:eastAsia="仿宋" w:cs="仿宋"/>
          <w:b/>
          <w:bCs/>
          <w:color w:val="000000"/>
          <w:kern w:val="0"/>
          <w:sz w:val="36"/>
          <w:szCs w:val="36"/>
          <w:lang w:val="en-US" w:eastAsia="zh-CN"/>
        </w:rPr>
        <w:t>县管堤防及涵闸运管经费</w:t>
      </w:r>
      <w:r>
        <w:rPr>
          <w:rFonts w:hint="eastAsia" w:ascii="仿宋" w:hAnsi="仿宋" w:eastAsia="仿宋" w:cs="仿宋"/>
          <w:b/>
          <w:bCs/>
          <w:color w:val="000000"/>
          <w:kern w:val="0"/>
          <w:sz w:val="36"/>
          <w:szCs w:val="36"/>
        </w:rPr>
        <w:t>项目支出绩效评价报告</w:t>
      </w:r>
    </w:p>
    <w:p w14:paraId="3EA446F6">
      <w:pPr>
        <w:widowControl/>
        <w:shd w:val="clear" w:color="auto" w:fill="FFFFFF"/>
        <w:spacing w:line="560" w:lineRule="atLeast"/>
        <w:jc w:val="center"/>
        <w:rPr>
          <w:rFonts w:ascii="Times New Roman" w:hAnsi="Times New Roman" w:eastAsia="微软雅黑"/>
          <w:color w:val="333333"/>
          <w:kern w:val="0"/>
          <w:sz w:val="30"/>
          <w:szCs w:val="30"/>
        </w:rPr>
      </w:pPr>
      <w:r>
        <w:rPr>
          <w:rFonts w:hint="eastAsia" w:ascii="宋体" w:hAnsi="宋体" w:cs="宋体"/>
          <w:b/>
          <w:bCs/>
          <w:color w:val="000000"/>
          <w:kern w:val="0"/>
          <w:sz w:val="44"/>
          <w:szCs w:val="44"/>
        </w:rPr>
        <w:t> </w:t>
      </w:r>
    </w:p>
    <w:p w14:paraId="46158583">
      <w:pPr>
        <w:keepNext w:val="0"/>
        <w:keepLines w:val="0"/>
        <w:widowControl/>
        <w:suppressLineNumbers w:val="0"/>
        <w:jc w:val="left"/>
      </w:pPr>
    </w:p>
    <w:p w14:paraId="1DC5C822">
      <w:pPr>
        <w:widowControl/>
        <w:shd w:val="clear" w:color="auto" w:fill="FFFFFF"/>
        <w:spacing w:line="560" w:lineRule="atLeast"/>
        <w:jc w:val="center"/>
        <w:rPr>
          <w:rFonts w:ascii="Times New Roman" w:hAnsi="Times New Roman" w:eastAsia="微软雅黑"/>
          <w:color w:val="333333"/>
          <w:kern w:val="0"/>
          <w:sz w:val="30"/>
          <w:szCs w:val="30"/>
        </w:rPr>
      </w:pPr>
    </w:p>
    <w:p w14:paraId="5CA9D61F">
      <w:pPr>
        <w:widowControl/>
        <w:shd w:val="clear" w:color="auto" w:fill="FFFFFF"/>
        <w:spacing w:line="560" w:lineRule="atLeast"/>
        <w:jc w:val="center"/>
        <w:rPr>
          <w:rFonts w:hint="eastAsia" w:ascii="宋体" w:hAnsi="宋体" w:cs="宋体"/>
          <w:b/>
          <w:bCs/>
          <w:color w:val="000000"/>
          <w:kern w:val="0"/>
          <w:sz w:val="44"/>
          <w:szCs w:val="44"/>
        </w:rPr>
      </w:pPr>
    </w:p>
    <w:p w14:paraId="11E45597">
      <w:pPr>
        <w:spacing w:line="560" w:lineRule="exact"/>
        <w:ind w:firstLine="1656" w:firstLineChars="600"/>
        <w:rPr>
          <w:rFonts w:ascii="仿宋_GB2312" w:hAnsi="Times New Roman" w:eastAsia="仿宋_GB2312" w:cs="Times New Roman"/>
          <w:sz w:val="28"/>
          <w:szCs w:val="28"/>
        </w:rPr>
      </w:pPr>
      <w:r>
        <w:rPr>
          <w:rFonts w:hint="eastAsia" w:ascii="仿宋_GB2312" w:hAnsi="Times New Roman" w:eastAsia="仿宋_GB2312" w:cs="Times New Roman"/>
          <w:sz w:val="28"/>
          <w:szCs w:val="28"/>
        </w:rPr>
        <w:t>项目主管部门：</w:t>
      </w:r>
      <w:r>
        <w:rPr>
          <w:rFonts w:hint="eastAsia" w:ascii="仿宋_GB2312" w:hAnsi="Times New Roman" w:eastAsia="仿宋_GB2312" w:cs="Times New Roman"/>
          <w:sz w:val="28"/>
          <w:szCs w:val="28"/>
          <w:lang w:val="en-US" w:eastAsia="zh-CN"/>
        </w:rPr>
        <w:t>怀远县</w:t>
      </w:r>
      <w:r>
        <w:rPr>
          <w:rFonts w:hint="eastAsia" w:ascii="仿宋_GB2312" w:eastAsia="仿宋_GB2312" w:cs="Times New Roman"/>
          <w:sz w:val="28"/>
          <w:szCs w:val="28"/>
          <w:lang w:val="en-US" w:eastAsia="zh-CN"/>
        </w:rPr>
        <w:t>水利</w:t>
      </w:r>
      <w:r>
        <w:rPr>
          <w:rFonts w:hint="eastAsia" w:ascii="仿宋_GB2312" w:hAnsi="Times New Roman" w:eastAsia="仿宋_GB2312" w:cs="Times New Roman"/>
          <w:sz w:val="28"/>
          <w:szCs w:val="28"/>
          <w:lang w:val="en-US" w:eastAsia="zh-CN"/>
        </w:rPr>
        <w:t>局</w:t>
      </w:r>
    </w:p>
    <w:p w14:paraId="0A63F88C">
      <w:pPr>
        <w:spacing w:line="560" w:lineRule="exact"/>
        <w:ind w:firstLine="1656" w:firstLineChars="600"/>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项目实施单位：</w:t>
      </w:r>
      <w:r>
        <w:rPr>
          <w:rFonts w:hint="eastAsia" w:ascii="仿宋_GB2312" w:hAnsi="Times New Roman" w:eastAsia="仿宋_GB2312" w:cs="Times New Roman"/>
          <w:sz w:val="28"/>
          <w:szCs w:val="28"/>
          <w:lang w:val="en-US" w:eastAsia="zh-CN"/>
        </w:rPr>
        <w:t>怀远县</w:t>
      </w:r>
      <w:r>
        <w:rPr>
          <w:rFonts w:hint="eastAsia" w:ascii="仿宋_GB2312" w:eastAsia="仿宋_GB2312" w:cs="Times New Roman"/>
          <w:sz w:val="28"/>
          <w:szCs w:val="28"/>
          <w:lang w:val="en-US" w:eastAsia="zh-CN"/>
        </w:rPr>
        <w:t>水利</w:t>
      </w:r>
      <w:r>
        <w:rPr>
          <w:rFonts w:hint="eastAsia" w:ascii="仿宋_GB2312" w:hAnsi="Times New Roman" w:eastAsia="仿宋_GB2312" w:cs="Times New Roman"/>
          <w:sz w:val="28"/>
          <w:szCs w:val="28"/>
          <w:lang w:val="en-US" w:eastAsia="zh-CN"/>
        </w:rPr>
        <w:t>局</w:t>
      </w:r>
    </w:p>
    <w:p w14:paraId="1BC57A5F">
      <w:pPr>
        <w:spacing w:line="560" w:lineRule="exact"/>
        <w:ind w:firstLine="1656" w:firstLineChars="600"/>
        <w:rPr>
          <w:rFonts w:ascii="仿宋_GB2312" w:hAnsi="Times New Roman" w:eastAsia="仿宋_GB2312" w:cs="Times New Roman"/>
          <w:sz w:val="28"/>
          <w:szCs w:val="28"/>
        </w:rPr>
      </w:pPr>
      <w:r>
        <w:rPr>
          <w:rFonts w:hint="eastAsia" w:ascii="仿宋_GB2312" w:hAnsi="Times New Roman" w:eastAsia="仿宋_GB2312" w:cs="Times New Roman"/>
          <w:sz w:val="28"/>
          <w:szCs w:val="28"/>
        </w:rPr>
        <w:t>委托单位：</w:t>
      </w:r>
      <w:r>
        <w:rPr>
          <w:rFonts w:hint="eastAsia" w:ascii="仿宋_GB2312" w:hAnsi="Times New Roman" w:eastAsia="仿宋_GB2312" w:cs="Times New Roman"/>
          <w:sz w:val="28"/>
          <w:szCs w:val="28"/>
          <w:lang w:val="en-US" w:eastAsia="zh-CN"/>
        </w:rPr>
        <w:t>怀远县</w:t>
      </w:r>
      <w:r>
        <w:rPr>
          <w:rFonts w:hint="eastAsia" w:ascii="仿宋_GB2312" w:hAnsi="Times New Roman" w:eastAsia="仿宋_GB2312" w:cs="Times New Roman"/>
          <w:sz w:val="28"/>
          <w:szCs w:val="28"/>
        </w:rPr>
        <w:t>财政局</w:t>
      </w:r>
    </w:p>
    <w:p w14:paraId="5C9285C1">
      <w:pPr>
        <w:spacing w:line="560" w:lineRule="exact"/>
        <w:ind w:firstLine="1656" w:firstLineChars="600"/>
        <w:rPr>
          <w:rFonts w:hint="default"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rPr>
        <w:t>评价单位：</w:t>
      </w:r>
      <w:r>
        <w:rPr>
          <w:rFonts w:hint="eastAsia" w:ascii="仿宋_GB2312" w:eastAsia="仿宋_GB2312" w:cs="Times New Roman"/>
          <w:sz w:val="28"/>
          <w:szCs w:val="28"/>
          <w:lang w:val="en-US" w:eastAsia="zh-CN"/>
        </w:rPr>
        <w:t>安徽乔峰信息科技有限公司</w:t>
      </w:r>
    </w:p>
    <w:p w14:paraId="53771630">
      <w:pPr>
        <w:widowControl/>
        <w:shd w:val="clear" w:color="auto" w:fill="FFFFFF"/>
        <w:spacing w:line="560" w:lineRule="atLeast"/>
        <w:jc w:val="center"/>
        <w:rPr>
          <w:rFonts w:ascii="Times New Roman" w:hAnsi="Times New Roman" w:eastAsia="微软雅黑"/>
          <w:color w:val="333333"/>
          <w:kern w:val="0"/>
          <w:sz w:val="30"/>
          <w:szCs w:val="30"/>
        </w:rPr>
      </w:pPr>
      <w:r>
        <w:rPr>
          <w:rFonts w:hint="eastAsia" w:ascii="宋体" w:hAnsi="宋体" w:cs="宋体"/>
          <w:color w:val="000000"/>
          <w:kern w:val="0"/>
          <w:sz w:val="32"/>
          <w:szCs w:val="32"/>
        </w:rPr>
        <w:t> </w:t>
      </w:r>
    </w:p>
    <w:p w14:paraId="013115C7">
      <w:pPr>
        <w:spacing w:line="560" w:lineRule="exact"/>
        <w:ind w:firstLine="2760" w:firstLineChars="1000"/>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2024年12月</w:t>
      </w:r>
    </w:p>
    <w:sdt>
      <w:sdtPr>
        <w:rPr>
          <w:rFonts w:hint="eastAsia" w:ascii="方正小标宋简体" w:hAnsi="华文宋体" w:eastAsia="方正小标宋简体" w:cs="Times New Roman"/>
          <w:b/>
          <w:bCs/>
          <w:sz w:val="36"/>
          <w:szCs w:val="36"/>
        </w:rPr>
        <w:id w:val="147475326"/>
        <w:docPartObj>
          <w:docPartGallery w:val="Table of Contents"/>
          <w:docPartUnique/>
        </w:docPartObj>
      </w:sdtPr>
      <w:sdtEndPr>
        <w:rPr>
          <w:rFonts w:hint="eastAsia" w:ascii="方正小标宋简体" w:hAnsi="华文宋体" w:eastAsia="方正小标宋简体" w:cs="Times New Roman"/>
          <w:b/>
          <w:bCs/>
          <w:sz w:val="36"/>
          <w:szCs w:val="36"/>
        </w:rPr>
      </w:sdtEndPr>
      <w:sdtContent>
        <w:p w14:paraId="42AB4C1B">
          <w:pPr>
            <w:ind w:firstLine="3204" w:firstLineChars="900"/>
            <w:jc w:val="left"/>
            <w:rPr>
              <w:rFonts w:ascii="方正小标宋简体" w:hAnsi="华文宋体" w:eastAsia="方正小标宋简体" w:cs="Times New Roman"/>
              <w:b/>
              <w:bCs/>
              <w:sz w:val="36"/>
              <w:szCs w:val="36"/>
            </w:rPr>
          </w:pPr>
          <w:r>
            <w:rPr>
              <w:rFonts w:hint="eastAsia" w:ascii="方正小标宋简体" w:hAnsi="华文宋体" w:eastAsia="方正小标宋简体" w:cs="Times New Roman"/>
              <w:b/>
              <w:bCs/>
              <w:sz w:val="36"/>
              <w:szCs w:val="36"/>
            </w:rPr>
            <w:t>目录</w:t>
          </w:r>
        </w:p>
        <w:p w14:paraId="4D829EDE">
          <w:pPr>
            <w:pStyle w:val="11"/>
            <w:tabs>
              <w:tab w:val="right" w:leader="dot" w:pos="8844"/>
            </w:tabs>
            <w:rPr>
              <w:rFonts w:ascii="仿宋_GB2312" w:hAnsi="华文宋体" w:eastAsia="仿宋_GB2312"/>
              <w:kern w:val="2"/>
              <w:sz w:val="24"/>
              <w:szCs w:val="24"/>
            </w:rPr>
          </w:pPr>
          <w:r>
            <w:fldChar w:fldCharType="begin"/>
          </w:r>
          <w:r>
            <w:instrText xml:space="preserve">TOC \o "1-2" \h \u </w:instrText>
          </w:r>
          <w:r>
            <w:fldChar w:fldCharType="separate"/>
          </w:r>
          <w:r>
            <w:fldChar w:fldCharType="begin"/>
          </w:r>
          <w:r>
            <w:instrText xml:space="preserve"> HYPERLINK \l "_Toc4018" </w:instrText>
          </w:r>
          <w:r>
            <w:fldChar w:fldCharType="separate"/>
          </w:r>
          <w:r>
            <w:rPr>
              <w:rFonts w:hint="eastAsia" w:ascii="仿宋_GB2312" w:hAnsi="华文宋体" w:eastAsia="仿宋_GB2312"/>
              <w:kern w:val="2"/>
              <w:sz w:val="24"/>
              <w:szCs w:val="24"/>
            </w:rPr>
            <w:t>绩效评价报告摘要</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_Toc4018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74C326FA">
          <w:pPr>
            <w:pStyle w:val="11"/>
            <w:tabs>
              <w:tab w:val="right" w:leader="dot" w:pos="8844"/>
            </w:tabs>
            <w:rPr>
              <w:rFonts w:ascii="仿宋_GB2312" w:hAnsi="华文宋体" w:eastAsia="仿宋_GB2312"/>
              <w:kern w:val="2"/>
              <w:sz w:val="24"/>
              <w:szCs w:val="24"/>
            </w:rPr>
          </w:pPr>
          <w:r>
            <w:fldChar w:fldCharType="begin"/>
          </w:r>
          <w:r>
            <w:instrText xml:space="preserve"> HYPERLINK \l "_Toc26016" </w:instrText>
          </w:r>
          <w:r>
            <w:fldChar w:fldCharType="separate"/>
          </w:r>
          <w:r>
            <w:rPr>
              <w:rFonts w:hint="eastAsia" w:ascii="仿宋_GB2312" w:hAnsi="华文宋体" w:eastAsia="仿宋_GB2312"/>
              <w:kern w:val="2"/>
              <w:sz w:val="24"/>
              <w:szCs w:val="24"/>
            </w:rPr>
            <w:t>绩效评价报告</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_Toc26016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- 8 -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19F45D83">
          <w:pPr>
            <w:pStyle w:val="11"/>
            <w:tabs>
              <w:tab w:val="right" w:leader="dot" w:pos="8844"/>
            </w:tabs>
            <w:rPr>
              <w:rFonts w:ascii="仿宋_GB2312" w:hAnsi="华文宋体" w:eastAsia="仿宋_GB2312"/>
              <w:kern w:val="2"/>
              <w:sz w:val="24"/>
              <w:szCs w:val="24"/>
            </w:rPr>
          </w:pPr>
          <w:r>
            <w:fldChar w:fldCharType="begin"/>
          </w:r>
          <w:r>
            <w:instrText xml:space="preserve"> HYPERLINK \l "_Toc27814" </w:instrText>
          </w:r>
          <w:r>
            <w:fldChar w:fldCharType="separate"/>
          </w:r>
          <w:r>
            <w:rPr>
              <w:rFonts w:hint="eastAsia" w:ascii="仿宋_GB2312" w:hAnsi="华文宋体" w:eastAsia="仿宋_GB2312"/>
              <w:kern w:val="2"/>
              <w:sz w:val="24"/>
              <w:szCs w:val="24"/>
            </w:rPr>
            <w:t>一、项目基本情况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_Toc27814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- 8 -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0329EA27">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"_Toc3481" </w:instrText>
          </w:r>
          <w:r>
            <w:fldChar w:fldCharType="separate"/>
          </w:r>
          <w:r>
            <w:rPr>
              <w:rFonts w:hint="eastAsia" w:ascii="仿宋_GB2312" w:hAnsi="华文宋体" w:eastAsia="仿宋_GB2312"/>
              <w:kern w:val="2"/>
              <w:sz w:val="24"/>
              <w:szCs w:val="24"/>
            </w:rPr>
            <w:t>（一）项目概况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_Toc3481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- 8 -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656B4501">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"_Toc32417" </w:instrText>
          </w:r>
          <w:r>
            <w:fldChar w:fldCharType="separate"/>
          </w:r>
          <w:r>
            <w:rPr>
              <w:rFonts w:hint="eastAsia" w:ascii="仿宋_GB2312" w:hAnsi="华文宋体" w:eastAsia="仿宋_GB2312"/>
              <w:kern w:val="2"/>
              <w:sz w:val="24"/>
              <w:szCs w:val="24"/>
            </w:rPr>
            <w:t>（二）项目绩效目标</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_Toc32417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- 10 -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56DF9E2F">
          <w:pPr>
            <w:pStyle w:val="11"/>
            <w:tabs>
              <w:tab w:val="right" w:leader="dot" w:pos="8844"/>
            </w:tabs>
            <w:rPr>
              <w:rFonts w:ascii="仿宋_GB2312" w:hAnsi="华文宋体" w:eastAsia="仿宋_GB2312"/>
              <w:kern w:val="2"/>
              <w:sz w:val="24"/>
              <w:szCs w:val="24"/>
            </w:rPr>
          </w:pPr>
          <w:r>
            <w:fldChar w:fldCharType="begin"/>
          </w:r>
          <w:r>
            <w:instrText xml:space="preserve"> HYPERLINK \l "_Toc3602" </w:instrText>
          </w:r>
          <w:r>
            <w:fldChar w:fldCharType="separate"/>
          </w:r>
          <w:r>
            <w:rPr>
              <w:rFonts w:hint="eastAsia" w:ascii="仿宋_GB2312" w:hAnsi="华文宋体" w:eastAsia="仿宋_GB2312"/>
              <w:kern w:val="2"/>
              <w:sz w:val="24"/>
              <w:szCs w:val="24"/>
            </w:rPr>
            <w:t>二、绩效评价工作开展情况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_Toc3602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- 10 -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4233CFA4">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"_Toc23951" </w:instrText>
          </w:r>
          <w:r>
            <w:fldChar w:fldCharType="separate"/>
          </w:r>
          <w:r>
            <w:rPr>
              <w:rFonts w:hint="eastAsia" w:ascii="仿宋_GB2312" w:hAnsi="华文宋体" w:eastAsia="仿宋_GB2312"/>
              <w:kern w:val="2"/>
              <w:sz w:val="24"/>
              <w:szCs w:val="24"/>
            </w:rPr>
            <w:t>（一）绩效评价目的、对象和范围</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_Toc23951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- 10 -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3B3F3948">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"_Toc17751" </w:instrText>
          </w:r>
          <w:r>
            <w:fldChar w:fldCharType="separate"/>
          </w:r>
          <w:r>
            <w:rPr>
              <w:rFonts w:hint="eastAsia" w:ascii="仿宋_GB2312" w:hAnsi="华文宋体" w:eastAsia="仿宋_GB2312"/>
              <w:kern w:val="2"/>
              <w:sz w:val="24"/>
              <w:szCs w:val="24"/>
            </w:rPr>
            <w:t>（二）绩效评价原则、评价指标体系、评价方法、评价标准</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_Toc17751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- 11 -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6F077660">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"_Toc23601" </w:instrText>
          </w:r>
          <w:r>
            <w:fldChar w:fldCharType="separate"/>
          </w:r>
          <w:r>
            <w:rPr>
              <w:rFonts w:hint="eastAsia" w:ascii="仿宋_GB2312" w:hAnsi="华文宋体" w:eastAsia="仿宋_GB2312"/>
              <w:kern w:val="2"/>
              <w:sz w:val="24"/>
              <w:szCs w:val="24"/>
            </w:rPr>
            <w:t>（三）绩效评价工作过程</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_Toc23601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- 14 -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376B8245">
          <w:pPr>
            <w:pStyle w:val="11"/>
            <w:tabs>
              <w:tab w:val="right" w:leader="dot" w:pos="8844"/>
            </w:tabs>
            <w:rPr>
              <w:rFonts w:ascii="仿宋_GB2312" w:hAnsi="华文宋体" w:eastAsia="仿宋_GB2312"/>
              <w:kern w:val="2"/>
              <w:sz w:val="24"/>
              <w:szCs w:val="24"/>
            </w:rPr>
          </w:pPr>
          <w:r>
            <w:fldChar w:fldCharType="begin"/>
          </w:r>
          <w:r>
            <w:instrText xml:space="preserve"> HYPERLINK \l "_Toc31295" </w:instrText>
          </w:r>
          <w:r>
            <w:fldChar w:fldCharType="separate"/>
          </w:r>
          <w:r>
            <w:rPr>
              <w:rFonts w:hint="eastAsia" w:ascii="仿宋_GB2312" w:hAnsi="华文宋体" w:eastAsia="仿宋_GB2312"/>
              <w:kern w:val="2"/>
              <w:sz w:val="24"/>
              <w:szCs w:val="24"/>
            </w:rPr>
            <w:t>三、综合评价情况及评价结论</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_Toc31295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- 14 -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2C474CFA">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"_Toc20659" </w:instrText>
          </w:r>
          <w:r>
            <w:fldChar w:fldCharType="separate"/>
          </w:r>
          <w:r>
            <w:rPr>
              <w:rFonts w:hint="eastAsia" w:ascii="仿宋_GB2312" w:hAnsi="华文宋体" w:eastAsia="仿宋_GB2312"/>
              <w:kern w:val="2"/>
              <w:sz w:val="24"/>
              <w:szCs w:val="24"/>
            </w:rPr>
            <w:t>（一）综合评价情况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_Toc20659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- 15 -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3DCE66FD">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"_Toc29228" </w:instrText>
          </w:r>
          <w:r>
            <w:fldChar w:fldCharType="separate"/>
          </w:r>
          <w:r>
            <w:rPr>
              <w:rFonts w:hint="eastAsia" w:ascii="仿宋_GB2312" w:hAnsi="华文宋体" w:eastAsia="仿宋_GB2312"/>
              <w:kern w:val="2"/>
              <w:sz w:val="24"/>
              <w:szCs w:val="24"/>
            </w:rPr>
            <w:t>（二）评价结论</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_Toc29228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- 15 -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0E386E9D">
          <w:pPr>
            <w:pStyle w:val="11"/>
            <w:tabs>
              <w:tab w:val="right" w:leader="dot" w:pos="8844"/>
            </w:tabs>
            <w:rPr>
              <w:rFonts w:ascii="仿宋_GB2312" w:hAnsi="华文宋体" w:eastAsia="仿宋_GB2312"/>
              <w:kern w:val="2"/>
              <w:sz w:val="24"/>
              <w:szCs w:val="24"/>
            </w:rPr>
          </w:pPr>
          <w:r>
            <w:fldChar w:fldCharType="begin"/>
          </w:r>
          <w:r>
            <w:instrText xml:space="preserve"> HYPERLINK \l "_Toc15151" </w:instrText>
          </w:r>
          <w:r>
            <w:fldChar w:fldCharType="separate"/>
          </w:r>
          <w:r>
            <w:rPr>
              <w:rFonts w:hint="eastAsia" w:ascii="仿宋_GB2312" w:hAnsi="华文宋体" w:eastAsia="仿宋_GB2312"/>
              <w:kern w:val="2"/>
              <w:sz w:val="24"/>
              <w:szCs w:val="24"/>
            </w:rPr>
            <w:t>四、绩效评价指标分析</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_Toc15151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- 15 -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6AC790BE">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"_Toc17424" </w:instrText>
          </w:r>
          <w:r>
            <w:fldChar w:fldCharType="separate"/>
          </w:r>
          <w:r>
            <w:rPr>
              <w:rFonts w:hint="eastAsia" w:ascii="仿宋_GB2312" w:hAnsi="华文宋体" w:eastAsia="仿宋_GB2312"/>
              <w:kern w:val="2"/>
              <w:sz w:val="24"/>
              <w:szCs w:val="24"/>
            </w:rPr>
            <w:t>（一）项目决策情况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_Toc17424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- 15 -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795F7201">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"_Toc31012" </w:instrText>
          </w:r>
          <w:r>
            <w:fldChar w:fldCharType="separate"/>
          </w:r>
          <w:r>
            <w:rPr>
              <w:rFonts w:hint="eastAsia" w:ascii="仿宋_GB2312" w:hAnsi="华文宋体" w:eastAsia="仿宋_GB2312"/>
              <w:kern w:val="2"/>
              <w:sz w:val="24"/>
              <w:szCs w:val="24"/>
            </w:rPr>
            <w:t>（二）项目过程情况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_Toc31012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- 18 -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2AD31DE4">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"_Toc14450" </w:instrText>
          </w:r>
          <w:r>
            <w:fldChar w:fldCharType="separate"/>
          </w:r>
          <w:r>
            <w:rPr>
              <w:rFonts w:hint="eastAsia" w:ascii="仿宋_GB2312" w:hAnsi="华文宋体" w:eastAsia="仿宋_GB2312"/>
              <w:kern w:val="2"/>
              <w:sz w:val="24"/>
              <w:szCs w:val="24"/>
            </w:rPr>
            <w:t>（三）项目产出情况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_Toc14450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- 20 -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4B14085A">
          <w:pPr>
            <w:pStyle w:val="12"/>
            <w:tabs>
              <w:tab w:val="right" w:leader="dot" w:pos="8844"/>
            </w:tabs>
            <w:ind w:left="632"/>
            <w:rPr>
              <w:rFonts w:ascii="仿宋_GB2312" w:hAnsi="华文宋体" w:eastAsia="仿宋_GB2312"/>
              <w:kern w:val="2"/>
              <w:sz w:val="24"/>
              <w:szCs w:val="24"/>
            </w:rPr>
          </w:pPr>
          <w:r>
            <w:fldChar w:fldCharType="begin"/>
          </w:r>
          <w:r>
            <w:instrText xml:space="preserve"> HYPERLINK \l "_Toc13789" </w:instrText>
          </w:r>
          <w:r>
            <w:fldChar w:fldCharType="separate"/>
          </w:r>
          <w:r>
            <w:rPr>
              <w:rFonts w:hint="eastAsia" w:ascii="仿宋_GB2312" w:hAnsi="华文宋体" w:eastAsia="仿宋_GB2312"/>
              <w:kern w:val="2"/>
              <w:sz w:val="24"/>
              <w:szCs w:val="24"/>
            </w:rPr>
            <w:t>（四）项目效益情况</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_Toc13789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- 23 -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36B30A53">
          <w:pPr>
            <w:pStyle w:val="11"/>
            <w:tabs>
              <w:tab w:val="right" w:leader="dot" w:pos="8844"/>
            </w:tabs>
            <w:rPr>
              <w:rFonts w:ascii="仿宋_GB2312" w:hAnsi="华文宋体" w:eastAsia="仿宋_GB2312"/>
              <w:kern w:val="2"/>
              <w:sz w:val="24"/>
              <w:szCs w:val="24"/>
            </w:rPr>
          </w:pPr>
          <w:r>
            <w:fldChar w:fldCharType="begin"/>
          </w:r>
          <w:r>
            <w:instrText xml:space="preserve"> HYPERLINK \l "_Toc18123" </w:instrText>
          </w:r>
          <w:r>
            <w:fldChar w:fldCharType="separate"/>
          </w:r>
          <w:r>
            <w:rPr>
              <w:rFonts w:hint="eastAsia" w:ascii="仿宋_GB2312" w:hAnsi="华文宋体" w:eastAsia="仿宋_GB2312"/>
              <w:kern w:val="2"/>
              <w:sz w:val="24"/>
              <w:szCs w:val="24"/>
            </w:rPr>
            <w:t>五、 主要经验及做法</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_Toc18123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- 25 -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6EE2CA59">
          <w:pPr>
            <w:pStyle w:val="11"/>
            <w:tabs>
              <w:tab w:val="right" w:leader="dot" w:pos="8844"/>
            </w:tabs>
            <w:rPr>
              <w:rFonts w:ascii="仿宋_GB2312" w:hAnsi="华文宋体" w:eastAsia="仿宋_GB2312"/>
              <w:kern w:val="2"/>
              <w:sz w:val="24"/>
              <w:szCs w:val="24"/>
            </w:rPr>
          </w:pPr>
          <w:r>
            <w:fldChar w:fldCharType="begin"/>
          </w:r>
          <w:r>
            <w:instrText xml:space="preserve"> HYPERLINK \l "_Toc1758" </w:instrText>
          </w:r>
          <w:r>
            <w:fldChar w:fldCharType="separate"/>
          </w:r>
          <w:r>
            <w:rPr>
              <w:rFonts w:hint="eastAsia" w:ascii="仿宋_GB2312" w:hAnsi="华文宋体" w:eastAsia="仿宋_GB2312"/>
              <w:kern w:val="2"/>
              <w:sz w:val="24"/>
              <w:szCs w:val="24"/>
            </w:rPr>
            <w:t>六、存在问题及原因分析</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_Toc1758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- 25 -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2C95F300">
          <w:pPr>
            <w:pStyle w:val="11"/>
            <w:tabs>
              <w:tab w:val="right" w:leader="dot" w:pos="8844"/>
            </w:tabs>
            <w:rPr>
              <w:rFonts w:ascii="仿宋_GB2312" w:hAnsi="华文宋体" w:eastAsia="仿宋_GB2312"/>
              <w:kern w:val="2"/>
              <w:sz w:val="24"/>
              <w:szCs w:val="24"/>
            </w:rPr>
            <w:sectPr>
              <w:pgSz w:w="11906" w:h="16838"/>
              <w:pgMar w:top="2098" w:right="1474" w:bottom="1985" w:left="1588" w:header="851" w:footer="992" w:gutter="0"/>
              <w:pgBorders>
                <w:top w:val="none" w:sz="0" w:space="0"/>
                <w:left w:val="none" w:sz="0" w:space="0"/>
                <w:bottom w:val="none" w:sz="0" w:space="0"/>
                <w:right w:val="none" w:sz="0" w:space="0"/>
              </w:pgBorders>
              <w:pgNumType w:fmt="numberInDash" w:start="1"/>
              <w:cols w:space="425" w:num="1"/>
              <w:docGrid w:type="linesAndChars" w:linePitch="560" w:charSpace="-849"/>
            </w:sectPr>
          </w:pPr>
          <w:r>
            <w:fldChar w:fldCharType="begin"/>
          </w:r>
          <w:r>
            <w:instrText xml:space="preserve"> HYPERLINK \l "_Toc703" </w:instrText>
          </w:r>
          <w:r>
            <w:fldChar w:fldCharType="separate"/>
          </w:r>
          <w:r>
            <w:rPr>
              <w:rFonts w:hint="eastAsia" w:ascii="仿宋_GB2312" w:hAnsi="华文宋体" w:eastAsia="仿宋_GB2312"/>
              <w:kern w:val="2"/>
              <w:sz w:val="24"/>
              <w:szCs w:val="24"/>
            </w:rPr>
            <w:t>七、有关建议</w:t>
          </w:r>
          <w:r>
            <w:rPr>
              <w:rFonts w:hint="eastAsia" w:ascii="仿宋_GB2312" w:hAnsi="华文宋体" w:eastAsia="仿宋_GB2312"/>
              <w:kern w:val="2"/>
              <w:sz w:val="24"/>
              <w:szCs w:val="24"/>
            </w:rPr>
            <w:tab/>
          </w:r>
          <w:r>
            <w:rPr>
              <w:rFonts w:hint="eastAsia" w:ascii="仿宋_GB2312" w:hAnsi="华文宋体" w:eastAsia="仿宋_GB2312"/>
              <w:kern w:val="2"/>
              <w:sz w:val="24"/>
              <w:szCs w:val="24"/>
            </w:rPr>
            <w:fldChar w:fldCharType="begin"/>
          </w:r>
          <w:r>
            <w:rPr>
              <w:rFonts w:hint="eastAsia" w:ascii="仿宋_GB2312" w:hAnsi="华文宋体" w:eastAsia="仿宋_GB2312"/>
              <w:kern w:val="2"/>
              <w:sz w:val="24"/>
              <w:szCs w:val="24"/>
            </w:rPr>
            <w:instrText xml:space="preserve"> PAGEREF _Toc703 \h </w:instrText>
          </w:r>
          <w:r>
            <w:rPr>
              <w:rFonts w:hint="eastAsia" w:ascii="仿宋_GB2312" w:hAnsi="华文宋体" w:eastAsia="仿宋_GB2312"/>
              <w:kern w:val="2"/>
              <w:sz w:val="24"/>
              <w:szCs w:val="24"/>
            </w:rPr>
            <w:fldChar w:fldCharType="separate"/>
          </w:r>
          <w:r>
            <w:rPr>
              <w:rFonts w:hint="eastAsia" w:ascii="仿宋_GB2312" w:hAnsi="华文宋体" w:eastAsia="仿宋_GB2312"/>
              <w:kern w:val="2"/>
              <w:sz w:val="24"/>
              <w:szCs w:val="24"/>
            </w:rPr>
            <w:t>- 26 -</w:t>
          </w:r>
          <w:r>
            <w:rPr>
              <w:rFonts w:hint="eastAsia" w:ascii="仿宋_GB2312" w:hAnsi="华文宋体" w:eastAsia="仿宋_GB2312"/>
              <w:kern w:val="2"/>
              <w:sz w:val="24"/>
              <w:szCs w:val="24"/>
            </w:rPr>
            <w:fldChar w:fldCharType="end"/>
          </w:r>
          <w:r>
            <w:rPr>
              <w:rFonts w:hint="eastAsia" w:ascii="仿宋_GB2312" w:hAnsi="华文宋体" w:eastAsia="仿宋_GB2312"/>
              <w:kern w:val="2"/>
              <w:sz w:val="24"/>
              <w:szCs w:val="24"/>
            </w:rPr>
            <w:fldChar w:fldCharType="end"/>
          </w:r>
        </w:p>
        <w:p w14:paraId="0DEA38A7">
          <w:pPr>
            <w:ind w:firstLine="1897" w:firstLineChars="900"/>
            <w:jc w:val="left"/>
          </w:pPr>
          <w:r>
            <w:rPr>
              <w:b/>
            </w:rPr>
            <w:fldChar w:fldCharType="end"/>
          </w:r>
        </w:p>
      </w:sdtContent>
    </w:sdt>
    <w:p w14:paraId="6C9508BA">
      <w:pPr>
        <w:widowControl/>
        <w:shd w:val="clear" w:color="auto" w:fill="FFFFFF"/>
        <w:spacing w:line="560" w:lineRule="atLeast"/>
        <w:jc w:val="center"/>
        <w:rPr>
          <w:rFonts w:hint="eastAsia" w:ascii="仿宋" w:hAnsi="仿宋" w:eastAsia="仿宋" w:cs="仿宋"/>
          <w:b/>
          <w:bCs/>
          <w:color w:val="000000"/>
          <w:kern w:val="0"/>
          <w:sz w:val="36"/>
          <w:szCs w:val="36"/>
          <w:lang w:val="en-US" w:eastAsia="zh-CN"/>
        </w:rPr>
      </w:pPr>
      <w:r>
        <w:rPr>
          <w:rFonts w:hint="eastAsia" w:ascii="仿宋" w:hAnsi="仿宋" w:eastAsia="仿宋" w:cs="仿宋"/>
          <w:b/>
          <w:bCs/>
          <w:color w:val="000000"/>
          <w:kern w:val="0"/>
          <w:sz w:val="36"/>
          <w:szCs w:val="36"/>
          <w:lang w:val="en-US" w:eastAsia="zh-CN"/>
        </w:rPr>
        <w:t xml:space="preserve"> 怀远县水利局</w:t>
      </w:r>
      <w:r>
        <w:rPr>
          <w:rFonts w:hint="eastAsia" w:ascii="仿宋" w:hAnsi="仿宋" w:eastAsia="仿宋" w:cs="仿宋"/>
          <w:b/>
          <w:bCs/>
          <w:color w:val="000000"/>
          <w:kern w:val="0"/>
          <w:sz w:val="36"/>
          <w:szCs w:val="36"/>
        </w:rPr>
        <w:t>202</w:t>
      </w:r>
      <w:r>
        <w:rPr>
          <w:rFonts w:hint="eastAsia" w:ascii="仿宋" w:hAnsi="仿宋" w:eastAsia="仿宋" w:cs="仿宋"/>
          <w:b/>
          <w:bCs/>
          <w:color w:val="000000"/>
          <w:kern w:val="0"/>
          <w:sz w:val="36"/>
          <w:szCs w:val="36"/>
          <w:lang w:val="en-US" w:eastAsia="zh-CN"/>
        </w:rPr>
        <w:t>3</w:t>
      </w:r>
      <w:r>
        <w:rPr>
          <w:rFonts w:hint="eastAsia" w:ascii="仿宋" w:hAnsi="仿宋" w:eastAsia="仿宋" w:cs="仿宋"/>
          <w:b/>
          <w:bCs/>
          <w:color w:val="000000"/>
          <w:kern w:val="0"/>
          <w:sz w:val="36"/>
          <w:szCs w:val="36"/>
        </w:rPr>
        <w:t>年度</w:t>
      </w:r>
      <w:r>
        <w:rPr>
          <w:rFonts w:hint="eastAsia" w:ascii="仿宋" w:hAnsi="仿宋" w:eastAsia="仿宋" w:cs="仿宋"/>
          <w:b/>
          <w:bCs/>
          <w:color w:val="000000"/>
          <w:kern w:val="0"/>
          <w:sz w:val="36"/>
          <w:szCs w:val="36"/>
          <w:lang w:val="en-US" w:eastAsia="zh-CN"/>
        </w:rPr>
        <w:t xml:space="preserve">县管堤防及涵闸运管经费       </w:t>
      </w:r>
      <w:r>
        <w:rPr>
          <w:rFonts w:hint="eastAsia" w:ascii="仿宋" w:hAnsi="仿宋" w:eastAsia="仿宋" w:cs="仿宋"/>
          <w:b/>
          <w:bCs/>
          <w:color w:val="000000"/>
          <w:kern w:val="0"/>
          <w:sz w:val="36"/>
          <w:szCs w:val="36"/>
        </w:rPr>
        <w:t xml:space="preserve"> </w:t>
      </w:r>
      <w:r>
        <w:rPr>
          <w:rFonts w:hint="eastAsia" w:ascii="仿宋" w:hAnsi="仿宋" w:eastAsia="仿宋" w:cs="仿宋"/>
          <w:b/>
          <w:bCs/>
          <w:color w:val="000000"/>
          <w:kern w:val="0"/>
          <w:sz w:val="36"/>
          <w:szCs w:val="36"/>
          <w:lang w:val="en-US" w:eastAsia="zh-CN"/>
        </w:rPr>
        <w:t xml:space="preserve">              </w:t>
      </w:r>
    </w:p>
    <w:p w14:paraId="33C2C447">
      <w:pPr>
        <w:widowControl/>
        <w:shd w:val="clear" w:color="auto" w:fill="FFFFFF"/>
        <w:spacing w:line="560" w:lineRule="atLeast"/>
        <w:ind w:firstLine="2891" w:firstLineChars="800"/>
        <w:jc w:val="both"/>
        <w:rPr>
          <w:rFonts w:hint="eastAsia" w:ascii="仿宋" w:hAnsi="仿宋" w:eastAsia="仿宋" w:cs="仿宋"/>
          <w:b/>
          <w:bCs/>
          <w:color w:val="000000"/>
          <w:kern w:val="0"/>
          <w:sz w:val="36"/>
          <w:szCs w:val="36"/>
        </w:rPr>
      </w:pPr>
      <w:r>
        <w:rPr>
          <w:rFonts w:hint="eastAsia" w:ascii="仿宋" w:hAnsi="仿宋" w:eastAsia="仿宋" w:cs="仿宋"/>
          <w:b/>
          <w:bCs/>
          <w:color w:val="000000"/>
          <w:kern w:val="0"/>
          <w:sz w:val="36"/>
          <w:szCs w:val="36"/>
        </w:rPr>
        <w:t>项目支出绩效评价报告</w:t>
      </w:r>
    </w:p>
    <w:p w14:paraId="2812C7A1">
      <w:pPr>
        <w:widowControl/>
        <w:shd w:val="clear" w:color="auto" w:fill="FFFFFF"/>
        <w:spacing w:line="560" w:lineRule="atLeast"/>
        <w:ind w:firstLine="3975" w:firstLineChars="1100"/>
        <w:jc w:val="both"/>
        <w:rPr>
          <w:rFonts w:hint="eastAsia" w:ascii="仿宋" w:hAnsi="仿宋" w:eastAsia="仿宋" w:cs="仿宋"/>
          <w:b/>
          <w:bCs/>
          <w:color w:val="000000"/>
          <w:kern w:val="0"/>
          <w:sz w:val="36"/>
          <w:szCs w:val="36"/>
        </w:rPr>
      </w:pPr>
      <w:r>
        <w:rPr>
          <w:rFonts w:hint="eastAsia" w:ascii="仿宋" w:hAnsi="仿宋" w:eastAsia="仿宋" w:cs="仿宋"/>
          <w:b/>
          <w:bCs/>
          <w:color w:val="000000"/>
          <w:kern w:val="0"/>
          <w:sz w:val="36"/>
          <w:szCs w:val="36"/>
        </w:rPr>
        <w:t>摘 要</w:t>
      </w:r>
    </w:p>
    <w:p w14:paraId="13695EA2">
      <w:pPr>
        <w:pStyle w:val="2"/>
        <w:spacing w:after="0" w:line="560" w:lineRule="exact"/>
        <w:ind w:firstLine="480" w:firstLineChars="200"/>
        <w:jc w:val="left"/>
        <w:rPr>
          <w:rFonts w:hint="eastAsia" w:ascii="仿宋" w:hAnsi="仿宋" w:eastAsia="仿宋" w:cs="仿宋"/>
          <w:color w:val="333333"/>
          <w:kern w:val="0"/>
          <w:sz w:val="24"/>
          <w:szCs w:val="24"/>
          <w:lang w:val="en-US" w:eastAsia="zh-CN" w:bidi="ar-SA"/>
        </w:rPr>
      </w:pPr>
      <w:r>
        <w:rPr>
          <w:rFonts w:hint="eastAsia" w:ascii="仿宋_GB2312" w:hAnsi="Times New Roman" w:eastAsia="仿宋_GB2312" w:cs="Times New Roman"/>
          <w:kern w:val="2"/>
          <w:sz w:val="24"/>
          <w:szCs w:val="24"/>
          <w:lang w:val="en-US" w:eastAsia="zh-CN" w:bidi="ar-SA"/>
        </w:rPr>
        <w:t>为贯彻落实全面实施预算绩效管理工作的要求，提高财政资金使用效益，根据《中华人民共和国预算法》规定，按照《中共怀远县委、怀远县人民政府关于印发&lt;全面实施预算绩效管理的实施办法&gt;的通知》(怀发(2020) 5 号)、《怀远县财政局关于印发&lt;怀远县县级项目支出绩效单位自评操作规程&gt;和&lt;怀远县县级级项目支出绩效财政评价和部门评价操作规程&gt;的通知》（怀财监〔2021〕1号）等要求，我们对怀远县水利局2023年度县管堤防及涵闸运管经费项目开展绩效评价，现将有关情况报告如下。</w:t>
      </w:r>
    </w:p>
    <w:p w14:paraId="017E8BB2">
      <w:pPr>
        <w:spacing w:line="560" w:lineRule="exact"/>
        <w:ind w:firstLine="640" w:firstLineChars="200"/>
        <w:outlineLvl w:val="0"/>
        <w:rPr>
          <w:rFonts w:hint="eastAsia" w:ascii="黑体" w:hAnsi="黑体" w:eastAsia="黑体" w:cs="黑体"/>
          <w:b w:val="0"/>
          <w:bCs w:val="0"/>
          <w:sz w:val="32"/>
          <w:szCs w:val="32"/>
        </w:rPr>
      </w:pPr>
      <w:bookmarkStart w:id="0" w:name="_Toc11742"/>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、项目执行情况</w:t>
      </w:r>
      <w:bookmarkEnd w:id="0"/>
    </w:p>
    <w:p w14:paraId="013C432B">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bookmarkStart w:id="1" w:name="_Toc14687"/>
      <w:r>
        <w:rPr>
          <w:rFonts w:hint="eastAsia" w:ascii="仿宋_GB2312" w:hAnsi="Times New Roman" w:eastAsia="仿宋_GB2312" w:cs="Times New Roman"/>
          <w:kern w:val="2"/>
          <w:sz w:val="24"/>
          <w:szCs w:val="24"/>
          <w:lang w:val="en-US" w:eastAsia="zh-CN" w:bidi="ar-SA"/>
        </w:rPr>
        <w:t>（一）预算执行情况</w:t>
      </w:r>
      <w:bookmarkEnd w:id="1"/>
    </w:p>
    <w:p w14:paraId="0ABF083E">
      <w:pPr>
        <w:widowControl/>
        <w:shd w:val="clear" w:color="auto" w:fill="FFFFFF"/>
        <w:spacing w:line="560" w:lineRule="exact"/>
        <w:ind w:firstLine="480" w:firstLineChars="200"/>
        <w:jc w:val="both"/>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怀远县县管堤防及涵闸运管经费2023年度预算申报120万元，追加预算12.8万元资金，合计132.8万元资金全部到位。预算执行率100%。</w:t>
      </w:r>
    </w:p>
    <w:p w14:paraId="4863DC6C">
      <w:pPr>
        <w:numPr>
          <w:ilvl w:val="0"/>
          <w:numId w:val="1"/>
        </w:num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bookmarkStart w:id="2" w:name="_Toc9155"/>
      <w:r>
        <w:rPr>
          <w:rFonts w:hint="eastAsia" w:ascii="仿宋_GB2312" w:hAnsi="Times New Roman" w:eastAsia="仿宋_GB2312" w:cs="Times New Roman"/>
          <w:kern w:val="2"/>
          <w:sz w:val="24"/>
          <w:szCs w:val="24"/>
          <w:lang w:val="en-US" w:eastAsia="zh-CN" w:bidi="ar-SA"/>
        </w:rPr>
        <w:t>效益实现情况</w:t>
      </w:r>
      <w:bookmarkEnd w:id="2"/>
    </w:p>
    <w:p w14:paraId="325FFC25">
      <w:pPr>
        <w:widowControl/>
        <w:shd w:val="clear" w:color="auto" w:fill="FFFFFF"/>
        <w:spacing w:line="560" w:lineRule="atLeast"/>
        <w:ind w:firstLine="640"/>
        <w:jc w:val="left"/>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防汛抗旱物资安全性、完整性得到保障，为汛期储备充足的防汛物资，保障国家和人民生命财产安全。为抗旱提供器具设备，为农业生产提供有力保障。完成县政府委托县河道局代管人员工资发放。产生社会效益主要体现在以下几个方面： </w:t>
      </w:r>
    </w:p>
    <w:p w14:paraId="30089A97">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（1）防洪排涝能力提升 </w:t>
      </w:r>
    </w:p>
    <w:p w14:paraId="56876892">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实施本项目后，通过加强河道堤防管理，怀远县有效提升了防洪排涝能力。例如，怀洪新河灌区工程的实施，涉及多个乡镇，包括新建、扩建及延长干渠、疏浚引水大沟、新建重建节制闸、渡槽、倒虹吸、翻水站、灌溉泵站等，这些工程的建设显著增强了区域的防洪排涝能力。同时，怀远县水利局还积极开展汛前检查工作，对河流、堤防、涵闸、泵站工程等进行全面排查，确保防洪设施的正常运行。 </w:t>
      </w:r>
    </w:p>
    <w:p w14:paraId="6BBF8107">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eastAsia="仿宋_GB2312" w:cs="Times New Roman"/>
          <w:kern w:val="2"/>
          <w:sz w:val="24"/>
          <w:szCs w:val="24"/>
          <w:lang w:val="en-US" w:eastAsia="zh-CN" w:bidi="ar-SA"/>
        </w:rPr>
        <w:t>（2）</w:t>
      </w:r>
      <w:r>
        <w:rPr>
          <w:rFonts w:hint="eastAsia" w:ascii="仿宋_GB2312" w:hAnsi="Times New Roman" w:eastAsia="仿宋_GB2312" w:cs="Times New Roman"/>
          <w:kern w:val="2"/>
          <w:sz w:val="24"/>
          <w:szCs w:val="24"/>
          <w:lang w:val="en-US" w:eastAsia="zh-CN" w:bidi="ar-SA"/>
        </w:rPr>
        <w:t>经济效益显著 加强河道堤防管理为怀远县带来了显著的经济效益。通过防洪排涝能力的提升，有效保障了农业生产的安全，减少了因洪涝灾害导致的农作物损失。此外，河道堤防的管理还促进了相关产业的发展，如水利工程建设、维修养护等，为当地提供了就业机会和收入来源。</w:t>
      </w:r>
    </w:p>
    <w:p w14:paraId="5FDF3CB2">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eastAsia="仿宋_GB2312" w:cs="Times New Roman"/>
          <w:kern w:val="2"/>
          <w:sz w:val="24"/>
          <w:szCs w:val="24"/>
          <w:lang w:val="en-US" w:eastAsia="zh-CN" w:bidi="ar-SA"/>
        </w:rPr>
        <w:t>（3）</w:t>
      </w:r>
      <w:r>
        <w:rPr>
          <w:rFonts w:hint="eastAsia" w:ascii="仿宋_GB2312" w:hAnsi="Times New Roman" w:eastAsia="仿宋_GB2312" w:cs="Times New Roman"/>
          <w:kern w:val="2"/>
          <w:sz w:val="24"/>
          <w:szCs w:val="24"/>
          <w:lang w:val="en-US" w:eastAsia="zh-CN" w:bidi="ar-SA"/>
        </w:rPr>
        <w:t>社会效益突出  河道堤防管理的加强不仅提升了防洪排涝能力，还带来了显著的社会效益。首先，通过加强宣传引导，提高了沿线群众的法律意识和生态环境保护意识，形成了良好的社会氛围。其次，河道堤防的整治和管理改善了沿河环境，提升了居民的生活质量。最后，加强河道堤防管理还有助于维护社会稳定，减少因洪涝灾害引发的社会矛盾和问题。</w:t>
      </w:r>
    </w:p>
    <w:p w14:paraId="7C6A9840">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（4）生态效益显现</w:t>
      </w:r>
    </w:p>
    <w:p w14:paraId="56794EDE">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加强河道堤防管理对生态环境的改善也起到了积极作用。通过清理河道障碍物、加强草皮养护等措施，有效保护了河道生态环境，提高了水体的自净能力。同时，河道堤防的管理还有助于维护生物多样性，促进生态系统的平衡发展。</w:t>
      </w:r>
    </w:p>
    <w:p w14:paraId="46E75359">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（5）可持续发展能力增强</w:t>
      </w:r>
    </w:p>
    <w:p w14:paraId="39D0C360">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加强河道堤防管理为怀远县的可持续发展提供了有力保障。通过完善政策法规体系、加强人才队伍建设等措施，不断提升了河道堤防管理的科学化和规范化水平。这些措施的实施有助于实现河道堤防管理的长期稳定和可持续发展。</w:t>
      </w:r>
    </w:p>
    <w:p w14:paraId="05F67678">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综上所述，加强怀远县河道堤防管理的效益实现情况显著，不仅提升了防洪排涝能力，还带来了显著的经济效益、社会效益和生态效益，为怀远县的可持续发展提供了有力保障。未来，怀远县应继续加强河道堤防管理，不断完善政策法规体系，提升管理水平和能力，以实现更加显著的效益。</w:t>
      </w:r>
    </w:p>
    <w:p w14:paraId="10F8D3A0">
      <w:pPr>
        <w:spacing w:line="560" w:lineRule="exact"/>
        <w:ind w:firstLine="640" w:firstLineChars="200"/>
        <w:outlineLvl w:val="0"/>
        <w:rPr>
          <w:rFonts w:ascii="黑体" w:hAnsi="黑体" w:eastAsia="黑体" w:cs="Times New Roman"/>
          <w:bCs/>
          <w:sz w:val="32"/>
          <w:szCs w:val="32"/>
        </w:rPr>
      </w:pPr>
      <w:bookmarkStart w:id="3" w:name="_Toc16658"/>
      <w:r>
        <w:rPr>
          <w:rFonts w:hint="eastAsia" w:ascii="黑体" w:hAnsi="黑体" w:eastAsia="黑体" w:cs="Times New Roman"/>
          <w:bCs/>
          <w:sz w:val="32"/>
          <w:szCs w:val="32"/>
          <w:lang w:val="en-US" w:eastAsia="zh-CN"/>
        </w:rPr>
        <w:t>二</w:t>
      </w:r>
      <w:r>
        <w:rPr>
          <w:rFonts w:hint="eastAsia" w:ascii="黑体" w:hAnsi="黑体" w:eastAsia="黑体" w:cs="Times New Roman"/>
          <w:bCs/>
          <w:sz w:val="32"/>
          <w:szCs w:val="32"/>
        </w:rPr>
        <w:t>、绩效评价工作情况及评价结论</w:t>
      </w:r>
      <w:bookmarkEnd w:id="3"/>
    </w:p>
    <w:p w14:paraId="69E1923C">
      <w:pPr>
        <w:spacing w:line="560" w:lineRule="exact"/>
        <w:ind w:firstLine="480" w:firstLineChars="200"/>
        <w:outlineLvl w:val="1"/>
        <w:rPr>
          <w:rFonts w:hint="eastAsia" w:ascii="仿宋_GB2312" w:hAnsi="Times New Roman" w:eastAsia="仿宋_GB2312" w:cs="Times New Roman"/>
          <w:kern w:val="2"/>
          <w:sz w:val="24"/>
          <w:szCs w:val="24"/>
          <w:lang w:val="en-US" w:eastAsia="zh-CN" w:bidi="ar-SA"/>
        </w:rPr>
      </w:pPr>
      <w:bookmarkStart w:id="4" w:name="_Toc2595"/>
      <w:r>
        <w:rPr>
          <w:rFonts w:hint="eastAsia" w:ascii="仿宋_GB2312" w:hAnsi="Times New Roman" w:eastAsia="仿宋_GB2312" w:cs="Times New Roman"/>
          <w:kern w:val="2"/>
          <w:sz w:val="24"/>
          <w:szCs w:val="24"/>
          <w:lang w:val="en-US" w:eastAsia="zh-CN" w:bidi="ar-SA"/>
        </w:rPr>
        <w:t>（一）评价范围及目的</w:t>
      </w:r>
      <w:bookmarkEnd w:id="4"/>
    </w:p>
    <w:p w14:paraId="05208B1B">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本次评价的范围是202</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年</w:t>
      </w:r>
      <w:r>
        <w:rPr>
          <w:rFonts w:hint="eastAsia" w:ascii="仿宋_GB2312" w:hAnsi="Times New Roman" w:eastAsia="仿宋_GB2312" w:cs="Times New Roman"/>
          <w:sz w:val="24"/>
          <w:szCs w:val="24"/>
          <w:lang w:val="en-US" w:eastAsia="zh-CN"/>
        </w:rPr>
        <w:t>县管堤防及涵闸运管经费</w:t>
      </w:r>
      <w:r>
        <w:rPr>
          <w:rFonts w:hint="eastAsia" w:ascii="仿宋_GB2312" w:hAnsi="Times New Roman" w:eastAsia="仿宋_GB2312" w:cs="Times New Roman"/>
          <w:sz w:val="24"/>
          <w:szCs w:val="24"/>
        </w:rPr>
        <w:t>的完成情况、产生的绩效情况资金，评价其绩效目标设定情况，资金投入和使用情况，为实现设定的绩效目标所制定的制度、采取的措施等，以及绩效目标最终的实现程度及效果。通过评价，深入了解202</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年</w:t>
      </w:r>
      <w:r>
        <w:rPr>
          <w:rFonts w:hint="eastAsia" w:ascii="仿宋_GB2312" w:hAnsi="Times New Roman" w:eastAsia="仿宋_GB2312" w:cs="Times New Roman"/>
          <w:sz w:val="24"/>
          <w:szCs w:val="24"/>
          <w:lang w:val="en-US" w:eastAsia="zh-CN"/>
        </w:rPr>
        <w:t>县管堤防及涵闸运管经费</w:t>
      </w:r>
      <w:r>
        <w:rPr>
          <w:rFonts w:hint="eastAsia" w:ascii="仿宋_GB2312" w:hAnsi="Times New Roman" w:eastAsia="仿宋_GB2312" w:cs="Times New Roman"/>
          <w:sz w:val="24"/>
          <w:szCs w:val="24"/>
        </w:rPr>
        <w:t>的决策、产出、过程和效益方面的详细情况，总结项目资金使用中的主要经验及存在问题，提出有针对性和可操作性的政策建议，不断提高财政资金管理水平和使用效益，为预算安排提供重要依据。</w:t>
      </w:r>
    </w:p>
    <w:p w14:paraId="08E21E02">
      <w:pPr>
        <w:spacing w:line="560" w:lineRule="exact"/>
        <w:ind w:firstLine="480" w:firstLineChars="200"/>
        <w:rPr>
          <w:rFonts w:hint="eastAsia" w:ascii="仿宋_GB2312" w:hAnsi="Times New Roman" w:eastAsia="仿宋_GB2312" w:cs="Times New Roman"/>
          <w:sz w:val="24"/>
          <w:szCs w:val="24"/>
        </w:rPr>
      </w:pPr>
      <w:bookmarkStart w:id="5" w:name="_Toc26786"/>
      <w:r>
        <w:rPr>
          <w:rFonts w:hint="eastAsia" w:ascii="仿宋_GB2312" w:hAnsi="Times New Roman" w:eastAsia="仿宋_GB2312" w:cs="Times New Roman"/>
          <w:sz w:val="24"/>
          <w:szCs w:val="24"/>
        </w:rPr>
        <w:t>（二）评价指标体系</w:t>
      </w:r>
      <w:bookmarkEnd w:id="5"/>
    </w:p>
    <w:p w14:paraId="33C6FCBB">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本次绩效评价指标体系包括项目决策、项目过程、项目产出、项目效益 4 个一级指标，满分为 100 分。其中：项目决策（</w:t>
      </w:r>
      <w:r>
        <w:rPr>
          <w:rFonts w:hint="eastAsia" w:ascii="仿宋_GB2312" w:eastAsia="仿宋_GB2312" w:cs="Times New Roman"/>
          <w:sz w:val="24"/>
          <w:szCs w:val="24"/>
          <w:lang w:val="en-US" w:eastAsia="zh-CN"/>
        </w:rPr>
        <w:t>30</w:t>
      </w:r>
      <w:r>
        <w:rPr>
          <w:rFonts w:hint="eastAsia" w:ascii="仿宋_GB2312" w:hAnsi="Times New Roman" w:eastAsia="仿宋_GB2312" w:cs="Times New Roman"/>
          <w:sz w:val="24"/>
          <w:szCs w:val="24"/>
        </w:rPr>
        <w:t>分）主要评价项目立项、绩效目标、资金投入情况，重点关注项目绩效目标设定情况、预算编制和资金分配情况。项目过程（</w:t>
      </w:r>
      <w:r>
        <w:rPr>
          <w:rFonts w:hint="eastAsia" w:ascii="仿宋_GB2312" w:eastAsia="仿宋_GB2312" w:cs="Times New Roman"/>
          <w:sz w:val="24"/>
          <w:szCs w:val="24"/>
          <w:lang w:val="en-US" w:eastAsia="zh-CN"/>
        </w:rPr>
        <w:t>28</w:t>
      </w:r>
      <w:r>
        <w:rPr>
          <w:rFonts w:hint="eastAsia" w:ascii="仿宋_GB2312" w:hAnsi="Times New Roman" w:eastAsia="仿宋_GB2312" w:cs="Times New Roman"/>
          <w:sz w:val="24"/>
          <w:szCs w:val="24"/>
        </w:rPr>
        <w:t>分）资金管理和组织实施情况，其中资金方面重点关注资金支出的合法合规性和绩效自评情况，组织实施重点关注管理制度的健全性和制度执行的有效性的情况。项目产出（</w:t>
      </w:r>
      <w:r>
        <w:rPr>
          <w:rFonts w:hint="eastAsia" w:ascii="仿宋_GB2312" w:eastAsia="仿宋_GB2312" w:cs="Times New Roman"/>
          <w:sz w:val="24"/>
          <w:szCs w:val="24"/>
          <w:lang w:val="en-US" w:eastAsia="zh-CN"/>
        </w:rPr>
        <w:t>22</w:t>
      </w:r>
      <w:r>
        <w:rPr>
          <w:rFonts w:hint="eastAsia" w:ascii="仿宋_GB2312" w:hAnsi="Times New Roman" w:eastAsia="仿宋_GB2312" w:cs="Times New Roman"/>
          <w:sz w:val="24"/>
          <w:szCs w:val="24"/>
        </w:rPr>
        <w:t>分）主要评价项目在本年度的实际产出数量、产出质量、产出成本等产出完成情况，根据项目申报内容，重点核实产出数量是否达到设定目标、产出质量、产出成本是否符合设定标准。项目效益（</w:t>
      </w:r>
      <w:r>
        <w:rPr>
          <w:rFonts w:hint="eastAsia" w:ascii="仿宋_GB2312" w:eastAsia="仿宋_GB2312" w:cs="Times New Roman"/>
          <w:sz w:val="24"/>
          <w:szCs w:val="24"/>
          <w:lang w:val="en-US" w:eastAsia="zh-CN"/>
        </w:rPr>
        <w:t>20</w:t>
      </w:r>
      <w:r>
        <w:rPr>
          <w:rFonts w:hint="eastAsia" w:ascii="仿宋_GB2312" w:hAnsi="Times New Roman" w:eastAsia="仿宋_GB2312" w:cs="Times New Roman"/>
          <w:sz w:val="24"/>
          <w:szCs w:val="24"/>
        </w:rPr>
        <w:t>分）主要评价社会效益、经济效益、生态效益、可持续影响及服务对象满意度情况，重点关注项目在社会发展方面发挥的实际作用情况和社会公众等服务对象的满意度情况。</w:t>
      </w:r>
    </w:p>
    <w:p w14:paraId="6A251D52">
      <w:pPr>
        <w:spacing w:line="560" w:lineRule="exact"/>
        <w:ind w:firstLine="480" w:firstLineChars="200"/>
        <w:rPr>
          <w:rFonts w:hint="eastAsia" w:ascii="仿宋_GB2312" w:hAnsi="Times New Roman" w:eastAsia="仿宋_GB2312" w:cs="Times New Roman"/>
          <w:sz w:val="24"/>
          <w:szCs w:val="24"/>
        </w:rPr>
      </w:pPr>
      <w:bookmarkStart w:id="6" w:name="_Toc2560"/>
      <w:r>
        <w:rPr>
          <w:rFonts w:hint="eastAsia" w:ascii="仿宋_GB2312" w:hAnsi="Times New Roman" w:eastAsia="仿宋_GB2312" w:cs="Times New Roman"/>
          <w:sz w:val="24"/>
          <w:szCs w:val="24"/>
        </w:rPr>
        <w:t>（三）评价方法与实施</w:t>
      </w:r>
      <w:bookmarkEnd w:id="6"/>
    </w:p>
    <w:p w14:paraId="7B71430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本次评价采用现场调研与非现场评价相结合的形式开展。主要采用定性评价和定量评价相结合方法，对定性评价指标采用因素分析法和公众评判法，对定量指标采用成本效益分析法、比较法进行量化打分。总分为100分，评价结果分为优（≥90 分）、良（≥80分、＜90分）、中（≥60分、＜80分）、差（＜60分），以下为具体评价方法：</w:t>
      </w:r>
    </w:p>
    <w:p w14:paraId="4F72B35E">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1.成本效益分析法，通过将投入与产出、效益进行关联性分析，评价绩效目标实现程度。</w:t>
      </w:r>
    </w:p>
    <w:p w14:paraId="4FA0CD4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2.比较法，通过对绩效目标与实施效果、历史与当期情况的比较，综合分析绩效目标实现程度。</w:t>
      </w:r>
    </w:p>
    <w:p w14:paraId="35ACC11B">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3.因素分析法，通过综合分析影响绩效目标实现、实施效果的内外因素，评价绩效目标实现程度。</w:t>
      </w:r>
    </w:p>
    <w:p w14:paraId="34DF3CB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4.公众评判法，通过公众问卷及抽样调查等对财政支出效果进行评判，评价绩效目标实现程度。</w:t>
      </w:r>
    </w:p>
    <w:p w14:paraId="326817C2">
      <w:pPr>
        <w:spacing w:line="560" w:lineRule="exact"/>
        <w:ind w:firstLine="480" w:firstLineChars="200"/>
        <w:rPr>
          <w:rFonts w:hint="eastAsia" w:ascii="仿宋_GB2312" w:hAnsi="Times New Roman" w:eastAsia="仿宋_GB2312" w:cs="Times New Roman"/>
          <w:sz w:val="24"/>
          <w:szCs w:val="24"/>
        </w:rPr>
      </w:pPr>
      <w:bookmarkStart w:id="7" w:name="_Toc29062"/>
      <w:r>
        <w:rPr>
          <w:rFonts w:hint="eastAsia" w:ascii="仿宋_GB2312" w:hAnsi="Times New Roman" w:eastAsia="仿宋_GB2312" w:cs="Times New Roman"/>
          <w:sz w:val="24"/>
          <w:szCs w:val="24"/>
          <w:lang w:val="en-US" w:eastAsia="zh-CN"/>
        </w:rPr>
        <w:t>（</w:t>
      </w:r>
      <w:r>
        <w:rPr>
          <w:rFonts w:hint="eastAsia" w:ascii="仿宋_GB2312" w:hAnsi="Times New Roman" w:eastAsia="仿宋_GB2312" w:cs="Times New Roman"/>
          <w:sz w:val="24"/>
          <w:szCs w:val="24"/>
        </w:rPr>
        <w:t>四）评价结论</w:t>
      </w:r>
      <w:bookmarkEnd w:id="7"/>
    </w:p>
    <w:p w14:paraId="6E8247C7">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根据评价指标体系对本项目的绩效进行评价, 202</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年</w:t>
      </w:r>
      <w:r>
        <w:rPr>
          <w:rFonts w:hint="eastAsia" w:ascii="仿宋_GB2312" w:hAnsi="Times New Roman" w:eastAsia="仿宋_GB2312" w:cs="Times New Roman"/>
          <w:sz w:val="24"/>
          <w:szCs w:val="24"/>
          <w:lang w:val="en-US" w:eastAsia="zh-CN"/>
        </w:rPr>
        <w:t>县管堤防及涵闸运管经费</w:t>
      </w:r>
      <w:r>
        <w:rPr>
          <w:rFonts w:hint="eastAsia" w:ascii="仿宋_GB2312" w:hAnsi="Times New Roman" w:eastAsia="仿宋_GB2312" w:cs="Times New Roman"/>
          <w:sz w:val="24"/>
          <w:szCs w:val="24"/>
        </w:rPr>
        <w:t>项目综合评价得分</w:t>
      </w:r>
      <w:r>
        <w:rPr>
          <w:rFonts w:hint="eastAsia" w:ascii="仿宋_GB2312" w:hAnsi="Times New Roman" w:eastAsia="仿宋_GB2312" w:cs="Times New Roman"/>
          <w:sz w:val="24"/>
          <w:szCs w:val="24"/>
          <w:lang w:val="en-US" w:eastAsia="zh-CN"/>
        </w:rPr>
        <w:t>75</w:t>
      </w:r>
      <w:r>
        <w:rPr>
          <w:rFonts w:hint="eastAsia" w:ascii="仿宋_GB2312" w:hAnsi="Times New Roman" w:eastAsia="仿宋_GB2312" w:cs="Times New Roman"/>
          <w:sz w:val="24"/>
          <w:szCs w:val="24"/>
        </w:rPr>
        <w:t>分，评价等级为“</w:t>
      </w:r>
      <w:r>
        <w:rPr>
          <w:rFonts w:hint="eastAsia" w:ascii="仿宋_GB2312" w:hAnsi="Times New Roman" w:eastAsia="仿宋_GB2312" w:cs="Times New Roman"/>
          <w:sz w:val="24"/>
          <w:szCs w:val="24"/>
          <w:lang w:val="en-US" w:eastAsia="zh-CN"/>
        </w:rPr>
        <w:t>中</w:t>
      </w:r>
      <w:r>
        <w:rPr>
          <w:rFonts w:hint="eastAsia" w:ascii="仿宋_GB2312" w:hAnsi="Times New Roman" w:eastAsia="仿宋_GB2312" w:cs="Times New Roman"/>
          <w:sz w:val="24"/>
          <w:szCs w:val="24"/>
        </w:rPr>
        <w:t>”。202</w:t>
      </w:r>
      <w:r>
        <w:rPr>
          <w:rFonts w:hint="eastAsia" w:ascii="仿宋_GB2312" w:hAnsi="Times New Roman" w:eastAsia="仿宋_GB2312" w:cs="Times New Roman"/>
          <w:sz w:val="24"/>
          <w:szCs w:val="24"/>
          <w:lang w:val="en-US" w:eastAsia="zh-CN"/>
        </w:rPr>
        <w:t>2</w:t>
      </w:r>
      <w:r>
        <w:rPr>
          <w:rFonts w:hint="eastAsia" w:ascii="仿宋_GB2312" w:hAnsi="Times New Roman" w:eastAsia="仿宋_GB2312" w:cs="Times New Roman"/>
          <w:sz w:val="24"/>
          <w:szCs w:val="24"/>
        </w:rPr>
        <w:t>年度</w:t>
      </w:r>
      <w:r>
        <w:rPr>
          <w:rFonts w:hint="eastAsia" w:ascii="仿宋_GB2312" w:eastAsia="仿宋_GB2312" w:cs="Times New Roman"/>
          <w:sz w:val="24"/>
          <w:szCs w:val="24"/>
          <w:lang w:val="en-US" w:eastAsia="zh-CN"/>
        </w:rPr>
        <w:t>到</w:t>
      </w:r>
      <w:r>
        <w:rPr>
          <w:rFonts w:hint="eastAsia" w:ascii="仿宋_GB2312" w:hAnsi="Times New Roman" w:eastAsia="仿宋_GB2312" w:cs="Times New Roman"/>
          <w:sz w:val="24"/>
          <w:szCs w:val="24"/>
        </w:rPr>
        <w:t>202</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年</w:t>
      </w:r>
      <w:r>
        <w:rPr>
          <w:rFonts w:hint="eastAsia" w:ascii="仿宋_GB2312" w:hAnsi="Times New Roman" w:eastAsia="仿宋_GB2312" w:cs="Times New Roman"/>
          <w:sz w:val="24"/>
          <w:szCs w:val="24"/>
          <w:lang w:val="en-US" w:eastAsia="zh-CN"/>
        </w:rPr>
        <w:t>县管堤防及涵闸运管经费</w:t>
      </w:r>
      <w:r>
        <w:rPr>
          <w:rFonts w:hint="eastAsia" w:ascii="仿宋_GB2312" w:hAnsi="Times New Roman" w:eastAsia="仿宋_GB2312" w:cs="Times New Roman"/>
          <w:sz w:val="24"/>
          <w:szCs w:val="24"/>
        </w:rPr>
        <w:t>项目基本按照计划完成年度工作任务，实现了年度绩效目标，取得了较好的社会、经济和生态效益，服务对象满意度高。但是，项目还存在绩效指标设定不明确、细化程度不高，</w:t>
      </w:r>
      <w:r>
        <w:rPr>
          <w:rFonts w:hint="eastAsia" w:ascii="仿宋_GB2312" w:hAnsi="Times New Roman" w:eastAsia="仿宋_GB2312" w:cs="Times New Roman"/>
          <w:sz w:val="24"/>
          <w:szCs w:val="24"/>
          <w:lang w:val="en-US" w:eastAsia="zh-CN"/>
        </w:rPr>
        <w:t>工程项目支出内部控制不严谨等</w:t>
      </w:r>
      <w:r>
        <w:rPr>
          <w:rFonts w:hint="eastAsia" w:ascii="仿宋_GB2312" w:hAnsi="Times New Roman" w:eastAsia="仿宋_GB2312" w:cs="Times New Roman"/>
          <w:sz w:val="24"/>
          <w:szCs w:val="24"/>
        </w:rPr>
        <w:t>问题。</w:t>
      </w:r>
    </w:p>
    <w:p w14:paraId="415021E8">
      <w:pPr>
        <w:spacing w:line="560" w:lineRule="exact"/>
        <w:ind w:firstLine="640" w:firstLineChars="200"/>
        <w:outlineLvl w:val="0"/>
        <w:rPr>
          <w:rFonts w:ascii="黑体" w:hAnsi="黑体" w:eastAsia="黑体" w:cs="Times New Roman"/>
          <w:bCs/>
          <w:sz w:val="32"/>
          <w:szCs w:val="32"/>
        </w:rPr>
      </w:pPr>
      <w:r>
        <w:rPr>
          <w:rFonts w:hint="eastAsia" w:ascii="黑体" w:hAnsi="黑体" w:eastAsia="黑体" w:cs="黑体"/>
          <w:sz w:val="32"/>
          <w:szCs w:val="32"/>
          <w:lang w:val="en-US" w:eastAsia="zh-CN"/>
        </w:rPr>
        <w:t xml:space="preserve"> </w:t>
      </w:r>
      <w:bookmarkStart w:id="8" w:name="_Toc4485"/>
      <w:r>
        <w:rPr>
          <w:rFonts w:hint="eastAsia" w:ascii="黑体" w:hAnsi="黑体" w:eastAsia="黑体" w:cs="黑体"/>
          <w:sz w:val="32"/>
          <w:szCs w:val="32"/>
          <w:lang w:val="en-US" w:eastAsia="zh-CN"/>
        </w:rPr>
        <w:t>三</w:t>
      </w:r>
      <w:r>
        <w:rPr>
          <w:rFonts w:hint="eastAsia" w:ascii="黑体" w:hAnsi="黑体" w:eastAsia="黑体" w:cs="黑体"/>
          <w:bCs/>
          <w:sz w:val="32"/>
          <w:szCs w:val="32"/>
        </w:rPr>
        <w:t>、绩</w:t>
      </w:r>
      <w:r>
        <w:rPr>
          <w:rFonts w:hint="eastAsia" w:ascii="黑体" w:hAnsi="黑体" w:eastAsia="黑体" w:cs="Times New Roman"/>
          <w:bCs/>
          <w:sz w:val="32"/>
          <w:szCs w:val="32"/>
        </w:rPr>
        <w:t>效评价指标完成情况</w:t>
      </w:r>
      <w:bookmarkEnd w:id="8"/>
    </w:p>
    <w:p w14:paraId="2F300EF6">
      <w:pPr>
        <w:spacing w:line="560" w:lineRule="exact"/>
        <w:ind w:firstLine="480" w:firstLineChars="200"/>
        <w:rPr>
          <w:rFonts w:hint="eastAsia" w:ascii="仿宋_GB2312" w:hAnsi="Times New Roman" w:eastAsia="仿宋_GB2312" w:cs="Times New Roman"/>
          <w:sz w:val="24"/>
          <w:szCs w:val="24"/>
        </w:rPr>
      </w:pPr>
      <w:bookmarkStart w:id="9" w:name="_Toc16774"/>
      <w:r>
        <w:rPr>
          <w:rFonts w:hint="eastAsia" w:ascii="仿宋_GB2312" w:hAnsi="Times New Roman" w:eastAsia="仿宋_GB2312" w:cs="Times New Roman"/>
          <w:sz w:val="24"/>
          <w:szCs w:val="24"/>
        </w:rPr>
        <w:t>（一）决策指标分析</w:t>
      </w:r>
      <w:bookmarkEnd w:id="9"/>
    </w:p>
    <w:p w14:paraId="2AEB00A6">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该指标分值</w:t>
      </w:r>
      <w:r>
        <w:rPr>
          <w:rFonts w:hint="eastAsia" w:ascii="仿宋_GB2312" w:hAnsi="Times New Roman" w:eastAsia="仿宋_GB2312" w:cs="Times New Roman"/>
          <w:sz w:val="24"/>
          <w:szCs w:val="24"/>
          <w:lang w:val="en-US" w:eastAsia="zh-CN"/>
        </w:rPr>
        <w:t>30</w:t>
      </w:r>
      <w:r>
        <w:rPr>
          <w:rFonts w:hint="eastAsia" w:ascii="仿宋_GB2312" w:hAnsi="Times New Roman" w:eastAsia="仿宋_GB2312" w:cs="Times New Roman"/>
          <w:sz w:val="24"/>
          <w:szCs w:val="24"/>
        </w:rPr>
        <w:t>分，得分</w:t>
      </w:r>
      <w:r>
        <w:rPr>
          <w:rFonts w:hint="eastAsia" w:ascii="仿宋_GB2312" w:hAnsi="Times New Roman" w:eastAsia="仿宋_GB2312" w:cs="Times New Roman"/>
          <w:sz w:val="24"/>
          <w:szCs w:val="24"/>
          <w:lang w:val="en-US" w:eastAsia="zh-CN"/>
        </w:rPr>
        <w:t>2</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rPr>
        <w:t>分，得分率</w:t>
      </w:r>
      <w:r>
        <w:rPr>
          <w:rFonts w:hint="eastAsia" w:ascii="仿宋_GB2312" w:hAnsi="Times New Roman" w:eastAsia="仿宋_GB2312" w:cs="Times New Roman"/>
          <w:sz w:val="24"/>
          <w:szCs w:val="24"/>
          <w:lang w:val="en-US" w:eastAsia="zh-CN"/>
        </w:rPr>
        <w:t>7</w:t>
      </w:r>
      <w:r>
        <w:rPr>
          <w:rFonts w:hint="eastAsia" w:ascii="仿宋_GB2312" w:eastAsia="仿宋_GB2312" w:cs="Times New Roman"/>
          <w:sz w:val="24"/>
          <w:szCs w:val="24"/>
          <w:lang w:val="en-US" w:eastAsia="zh-CN"/>
        </w:rPr>
        <w:t>3.3</w:t>
      </w:r>
      <w:r>
        <w:rPr>
          <w:rFonts w:hint="eastAsia" w:ascii="仿宋_GB2312" w:hAnsi="Times New Roman" w:eastAsia="仿宋_GB2312" w:cs="Times New Roman"/>
          <w:sz w:val="24"/>
          <w:szCs w:val="24"/>
        </w:rPr>
        <w:t>%。项目立项依据充分，程序规范。项目绩效目标细化分解为具体的绩效指标，但是细化程度不高，部分绩效指标不够全面、不够明确，分类不够清晰，部分细化的三级指标与二级指标匹配性不高，质量指标量化不明确。</w:t>
      </w:r>
      <w:bookmarkStart w:id="10" w:name="_Toc1661"/>
    </w:p>
    <w:p w14:paraId="45CE9366">
      <w:pPr>
        <w:spacing w:line="560" w:lineRule="exact"/>
        <w:ind w:firstLine="240" w:firstLineChars="1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（二）过程指标分析</w:t>
      </w:r>
      <w:bookmarkEnd w:id="10"/>
    </w:p>
    <w:p w14:paraId="62073B1F">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该指标分值</w:t>
      </w:r>
      <w:r>
        <w:rPr>
          <w:rFonts w:hint="eastAsia" w:ascii="仿宋_GB2312" w:hAnsi="Times New Roman" w:eastAsia="仿宋_GB2312" w:cs="Times New Roman"/>
          <w:sz w:val="24"/>
          <w:szCs w:val="24"/>
          <w:lang w:val="en-US" w:eastAsia="zh-CN"/>
        </w:rPr>
        <w:t>28</w:t>
      </w:r>
      <w:r>
        <w:rPr>
          <w:rFonts w:hint="eastAsia" w:ascii="仿宋_GB2312" w:hAnsi="Times New Roman" w:eastAsia="仿宋_GB2312" w:cs="Times New Roman"/>
          <w:sz w:val="24"/>
          <w:szCs w:val="24"/>
        </w:rPr>
        <w:t>分，得分</w:t>
      </w:r>
      <w:r>
        <w:rPr>
          <w:rFonts w:hint="eastAsia" w:ascii="仿宋_GB2312" w:hAnsi="Times New Roman" w:eastAsia="仿宋_GB2312" w:cs="Times New Roman"/>
          <w:sz w:val="24"/>
          <w:szCs w:val="24"/>
          <w:lang w:val="en-US" w:eastAsia="zh-CN"/>
        </w:rPr>
        <w:t>21</w:t>
      </w:r>
      <w:r>
        <w:rPr>
          <w:rFonts w:hint="eastAsia" w:ascii="仿宋_GB2312" w:hAnsi="Times New Roman" w:eastAsia="仿宋_GB2312" w:cs="Times New Roman"/>
          <w:sz w:val="24"/>
          <w:szCs w:val="24"/>
        </w:rPr>
        <w:t>分，得分率</w:t>
      </w:r>
      <w:r>
        <w:rPr>
          <w:rFonts w:hint="eastAsia" w:ascii="仿宋_GB2312" w:hAnsi="Times New Roman" w:eastAsia="仿宋_GB2312" w:cs="Times New Roman"/>
          <w:sz w:val="24"/>
          <w:szCs w:val="24"/>
          <w:lang w:val="en-US" w:eastAsia="zh-CN"/>
        </w:rPr>
        <w:t>75</w:t>
      </w:r>
      <w:r>
        <w:rPr>
          <w:rFonts w:hint="eastAsia" w:ascii="仿宋_GB2312" w:hAnsi="Times New Roman" w:eastAsia="仿宋_GB2312" w:cs="Times New Roman"/>
          <w:sz w:val="24"/>
          <w:szCs w:val="24"/>
        </w:rPr>
        <w:t>%。项目资金及时足额拨付到位，资金拨付具有完整的审批程序，资金使用合规，项目建立了财务及业务管理制度，相关制度基本得到有效执行。但是绩效自评内容不够完整，数据填写不够规范，自评结论</w:t>
      </w:r>
      <w:r>
        <w:rPr>
          <w:rFonts w:hint="eastAsia" w:ascii="仿宋_GB2312" w:hAnsi="Times New Roman" w:eastAsia="仿宋_GB2312" w:cs="Times New Roman"/>
          <w:sz w:val="24"/>
          <w:szCs w:val="24"/>
          <w:lang w:val="en-US" w:eastAsia="zh-CN"/>
        </w:rPr>
        <w:t>有些地方</w:t>
      </w:r>
      <w:r>
        <w:rPr>
          <w:rFonts w:hint="eastAsia" w:ascii="仿宋_GB2312" w:hAnsi="Times New Roman" w:eastAsia="仿宋_GB2312" w:cs="Times New Roman"/>
          <w:sz w:val="24"/>
          <w:szCs w:val="24"/>
        </w:rPr>
        <w:t>不真实，</w:t>
      </w:r>
      <w:bookmarkStart w:id="11" w:name="_Hlk80221096"/>
      <w:r>
        <w:rPr>
          <w:rFonts w:hint="eastAsia" w:ascii="仿宋_GB2312" w:hAnsi="Times New Roman" w:eastAsia="仿宋_GB2312" w:cs="Times New Roman"/>
          <w:sz w:val="24"/>
          <w:szCs w:val="24"/>
        </w:rPr>
        <w:t>未能真实反映项目执行情况</w:t>
      </w:r>
      <w:bookmarkEnd w:id="11"/>
      <w:r>
        <w:rPr>
          <w:rFonts w:hint="eastAsia" w:ascii="仿宋_GB2312" w:hAnsi="Times New Roman" w:eastAsia="仿宋_GB2312" w:cs="Times New Roman"/>
          <w:sz w:val="24"/>
          <w:szCs w:val="24"/>
        </w:rPr>
        <w:t>。</w:t>
      </w:r>
    </w:p>
    <w:p w14:paraId="569EC75A">
      <w:pPr>
        <w:spacing w:line="560" w:lineRule="exact"/>
        <w:ind w:firstLine="480" w:firstLineChars="200"/>
        <w:rPr>
          <w:rFonts w:hint="eastAsia" w:ascii="仿宋_GB2312" w:hAnsi="Times New Roman" w:eastAsia="仿宋_GB2312" w:cs="Times New Roman"/>
          <w:sz w:val="24"/>
          <w:szCs w:val="24"/>
        </w:rPr>
      </w:pPr>
      <w:bookmarkStart w:id="12" w:name="_Toc27095"/>
      <w:r>
        <w:rPr>
          <w:rFonts w:hint="eastAsia" w:ascii="仿宋_GB2312" w:hAnsi="Times New Roman" w:eastAsia="仿宋_GB2312" w:cs="Times New Roman"/>
          <w:sz w:val="24"/>
          <w:szCs w:val="24"/>
        </w:rPr>
        <w:t>（三）产出指标分析</w:t>
      </w:r>
      <w:bookmarkEnd w:id="12"/>
    </w:p>
    <w:p w14:paraId="75B8AAAB">
      <w:pPr>
        <w:spacing w:line="560" w:lineRule="exact"/>
        <w:ind w:firstLine="480" w:firstLineChars="200"/>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rPr>
        <w:t>该指标分值</w:t>
      </w:r>
      <w:r>
        <w:rPr>
          <w:rFonts w:hint="eastAsia" w:ascii="仿宋_GB2312" w:hAnsi="Times New Roman" w:eastAsia="仿宋_GB2312" w:cs="Times New Roman"/>
          <w:sz w:val="24"/>
          <w:szCs w:val="24"/>
          <w:lang w:val="en-US" w:eastAsia="zh-CN"/>
        </w:rPr>
        <w:t>22</w:t>
      </w:r>
      <w:r>
        <w:rPr>
          <w:rFonts w:hint="eastAsia" w:ascii="仿宋_GB2312" w:hAnsi="Times New Roman" w:eastAsia="仿宋_GB2312" w:cs="Times New Roman"/>
          <w:sz w:val="24"/>
          <w:szCs w:val="24"/>
        </w:rPr>
        <w:t>分，得分</w:t>
      </w:r>
      <w:r>
        <w:rPr>
          <w:rFonts w:hint="eastAsia" w:ascii="仿宋_GB2312" w:eastAsia="仿宋_GB2312" w:cs="Times New Roman"/>
          <w:sz w:val="24"/>
          <w:szCs w:val="24"/>
          <w:lang w:val="en-US" w:eastAsia="zh-CN"/>
        </w:rPr>
        <w:t>16</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72</w:t>
      </w:r>
      <w:r>
        <w:rPr>
          <w:rFonts w:hint="eastAsia" w:ascii="仿宋_GB2312" w:hAnsi="Times New Roman" w:eastAsia="仿宋_GB2312" w:cs="Times New Roman"/>
          <w:sz w:val="24"/>
          <w:szCs w:val="24"/>
          <w:lang w:val="en-US" w:eastAsia="zh-CN"/>
        </w:rPr>
        <w:t>.</w:t>
      </w:r>
      <w:r>
        <w:rPr>
          <w:rFonts w:hint="eastAsia" w:ascii="仿宋_GB2312" w:eastAsia="仿宋_GB2312" w:cs="Times New Roman"/>
          <w:sz w:val="24"/>
          <w:szCs w:val="24"/>
          <w:lang w:val="en-US" w:eastAsia="zh-CN"/>
        </w:rPr>
        <w:t>7</w:t>
      </w:r>
      <w:r>
        <w:rPr>
          <w:rFonts w:hint="eastAsia" w:ascii="仿宋_GB2312" w:hAnsi="Times New Roman" w:eastAsia="仿宋_GB2312" w:cs="Times New Roman"/>
          <w:sz w:val="24"/>
          <w:szCs w:val="24"/>
        </w:rPr>
        <w:t>%。各项任务完成及时</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rPr>
        <w:t>预算执行完成率</w:t>
      </w:r>
      <w:r>
        <w:rPr>
          <w:rFonts w:hint="eastAsia" w:ascii="仿宋_GB2312" w:hAnsi="Times New Roman" w:eastAsia="仿宋_GB2312" w:cs="Times New Roman"/>
          <w:sz w:val="24"/>
          <w:szCs w:val="24"/>
          <w:lang w:val="en-US" w:eastAsia="zh-CN"/>
        </w:rPr>
        <w:t>100%</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rPr>
        <w:t>主要</w:t>
      </w:r>
      <w:r>
        <w:rPr>
          <w:rFonts w:hint="eastAsia" w:ascii="仿宋_GB2312" w:hAnsi="Times New Roman" w:eastAsia="仿宋_GB2312" w:cs="Times New Roman"/>
          <w:sz w:val="24"/>
          <w:szCs w:val="24"/>
          <w:lang w:eastAsia="zh-CN"/>
        </w:rPr>
        <w:t>扣分原因</w:t>
      </w:r>
      <w:r>
        <w:rPr>
          <w:rFonts w:hint="eastAsia" w:ascii="仿宋_GB2312" w:hAnsi="Times New Roman" w:eastAsia="仿宋_GB2312" w:cs="Times New Roman"/>
          <w:sz w:val="24"/>
          <w:szCs w:val="24"/>
        </w:rPr>
        <w:t>在于</w:t>
      </w:r>
      <w:r>
        <w:rPr>
          <w:rFonts w:hint="eastAsia" w:ascii="仿宋_GB2312" w:hAnsi="Times New Roman" w:eastAsia="仿宋_GB2312" w:cs="Times New Roman"/>
          <w:sz w:val="24"/>
          <w:szCs w:val="24"/>
          <w:lang w:val="en-US" w:eastAsia="zh-CN"/>
        </w:rPr>
        <w:t>付款时效性不足</w:t>
      </w:r>
      <w:r>
        <w:rPr>
          <w:rFonts w:hint="eastAsia" w:ascii="仿宋_GB2312" w:hAnsi="Times New Roman" w:eastAsia="仿宋_GB2312" w:cs="Times New Roman"/>
          <w:sz w:val="24"/>
          <w:szCs w:val="24"/>
          <w:lang w:eastAsia="zh-CN"/>
        </w:rPr>
        <w:t>。</w:t>
      </w:r>
    </w:p>
    <w:p w14:paraId="72668891">
      <w:pPr>
        <w:spacing w:line="560" w:lineRule="exact"/>
        <w:ind w:firstLine="480" w:firstLineChars="200"/>
        <w:rPr>
          <w:rFonts w:hint="eastAsia" w:ascii="仿宋_GB2312" w:hAnsi="Times New Roman" w:eastAsia="仿宋_GB2312" w:cs="Times New Roman"/>
          <w:sz w:val="24"/>
          <w:szCs w:val="24"/>
        </w:rPr>
      </w:pPr>
      <w:bookmarkStart w:id="13" w:name="_Toc21880"/>
      <w:r>
        <w:rPr>
          <w:rFonts w:hint="eastAsia" w:ascii="仿宋_GB2312" w:hAnsi="Times New Roman" w:eastAsia="仿宋_GB2312" w:cs="Times New Roman"/>
          <w:sz w:val="24"/>
          <w:szCs w:val="24"/>
        </w:rPr>
        <w:t>（四）效益指标分析</w:t>
      </w:r>
      <w:bookmarkEnd w:id="13"/>
    </w:p>
    <w:p w14:paraId="711B1949">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该指标分值</w:t>
      </w:r>
      <w:r>
        <w:rPr>
          <w:rFonts w:hint="eastAsia" w:ascii="仿宋_GB2312" w:hAnsi="Times New Roman" w:eastAsia="仿宋_GB2312" w:cs="Times New Roman"/>
          <w:sz w:val="24"/>
          <w:szCs w:val="24"/>
          <w:lang w:val="en-US" w:eastAsia="zh-CN"/>
        </w:rPr>
        <w:t>20</w:t>
      </w:r>
      <w:r>
        <w:rPr>
          <w:rFonts w:hint="eastAsia" w:ascii="仿宋_GB2312" w:hAnsi="Times New Roman" w:eastAsia="仿宋_GB2312" w:cs="Times New Roman"/>
          <w:sz w:val="24"/>
          <w:szCs w:val="24"/>
        </w:rPr>
        <w:t>分，得分</w:t>
      </w:r>
      <w:r>
        <w:rPr>
          <w:rFonts w:hint="eastAsia" w:ascii="仿宋_GB2312" w:eastAsia="仿宋_GB2312" w:cs="Times New Roman"/>
          <w:sz w:val="24"/>
          <w:szCs w:val="24"/>
          <w:lang w:val="en-US" w:eastAsia="zh-CN"/>
        </w:rPr>
        <w:t>16</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8</w:t>
      </w:r>
      <w:r>
        <w:rPr>
          <w:rFonts w:hint="eastAsia" w:ascii="仿宋_GB2312" w:hAnsi="Times New Roman" w:eastAsia="仿宋_GB2312" w:cs="Times New Roman"/>
          <w:sz w:val="24"/>
          <w:szCs w:val="24"/>
          <w:lang w:val="en-US" w:eastAsia="zh-CN"/>
        </w:rPr>
        <w:t>0</w:t>
      </w:r>
      <w:r>
        <w:rPr>
          <w:rFonts w:hint="eastAsia" w:ascii="仿宋_GB2312" w:hAnsi="Times New Roman" w:eastAsia="仿宋_GB2312" w:cs="Times New Roman"/>
          <w:sz w:val="24"/>
          <w:szCs w:val="24"/>
        </w:rPr>
        <w:t>%。通过202</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年</w:t>
      </w:r>
      <w:r>
        <w:rPr>
          <w:rFonts w:hint="eastAsia" w:ascii="仿宋_GB2312" w:hAnsi="Times New Roman" w:eastAsia="仿宋_GB2312" w:cs="Times New Roman"/>
          <w:sz w:val="24"/>
          <w:szCs w:val="24"/>
          <w:lang w:val="en-US" w:eastAsia="zh-CN"/>
        </w:rPr>
        <w:t>县管堤防及涵闸运管经费工程的建设</w:t>
      </w:r>
      <w:r>
        <w:rPr>
          <w:rFonts w:hint="eastAsia" w:ascii="仿宋_GB2312" w:hAnsi="Times New Roman" w:eastAsia="仿宋_GB2312" w:cs="Times New Roman"/>
          <w:sz w:val="24"/>
          <w:szCs w:val="24"/>
        </w:rPr>
        <w:t>，</w:t>
      </w:r>
      <w:r>
        <w:rPr>
          <w:rFonts w:hint="eastAsia" w:ascii="仿宋_GB2312" w:hAnsi="Times New Roman" w:eastAsia="仿宋_GB2312" w:cs="Times New Roman"/>
          <w:sz w:val="24"/>
          <w:szCs w:val="24"/>
          <w:lang w:val="en-US" w:eastAsia="zh-CN"/>
        </w:rPr>
        <w:t>加强怀远县河道堤防管理的效益实现情况显著，不仅提升了防洪排涝能力，还带来了显著的经济效益、社会效益和生态效益，为怀远县的可持续发展提供了有力保障。未来，怀远县应继续加强河道堤防管理，不断完善政策法规体系，提升管理水平和能力，以实现更加显著的效益</w:t>
      </w:r>
      <w:r>
        <w:rPr>
          <w:rFonts w:hint="eastAsia" w:ascii="仿宋_GB2312" w:hAnsi="Times New Roman" w:eastAsia="仿宋_GB2312" w:cs="Times New Roman"/>
          <w:sz w:val="24"/>
          <w:szCs w:val="24"/>
        </w:rPr>
        <w:t>，市民满意度高。</w:t>
      </w:r>
    </w:p>
    <w:p w14:paraId="30841F71">
      <w:pPr>
        <w:spacing w:line="560" w:lineRule="exact"/>
        <w:ind w:firstLine="640" w:firstLineChars="200"/>
        <w:outlineLvl w:val="0"/>
        <w:rPr>
          <w:rFonts w:ascii="黑体" w:hAnsi="黑体" w:eastAsia="黑体" w:cs="Times New Roman"/>
          <w:bCs/>
          <w:sz w:val="32"/>
          <w:szCs w:val="32"/>
        </w:rPr>
      </w:pPr>
      <w:bookmarkStart w:id="14" w:name="_Toc3128"/>
      <w:r>
        <w:rPr>
          <w:rFonts w:hint="eastAsia" w:ascii="黑体" w:hAnsi="黑体" w:eastAsia="黑体" w:cs="Times New Roman"/>
          <w:bCs/>
          <w:sz w:val="32"/>
          <w:szCs w:val="32"/>
          <w:lang w:val="en-US" w:eastAsia="zh-CN"/>
        </w:rPr>
        <w:t>四</w:t>
      </w:r>
      <w:r>
        <w:rPr>
          <w:rFonts w:hint="eastAsia" w:ascii="黑体" w:hAnsi="黑体" w:eastAsia="黑体" w:cs="Times New Roman"/>
          <w:bCs/>
          <w:sz w:val="32"/>
          <w:szCs w:val="32"/>
        </w:rPr>
        <w:t>、主要经验及做法</w:t>
      </w:r>
      <w:bookmarkEnd w:id="14"/>
    </w:p>
    <w:p w14:paraId="44D7A838">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主要</w:t>
      </w:r>
      <w:r>
        <w:rPr>
          <w:rFonts w:hint="eastAsia" w:ascii="仿宋_GB2312" w:hAnsi="Times New Roman" w:eastAsia="仿宋_GB2312" w:cs="Times New Roman"/>
          <w:sz w:val="24"/>
          <w:szCs w:val="24"/>
          <w:lang w:val="en-US" w:eastAsia="zh-CN"/>
        </w:rPr>
        <w:t>经验及落实做法如下：</w:t>
      </w:r>
    </w:p>
    <w:p w14:paraId="38E01F9C">
      <w:pPr>
        <w:spacing w:line="560" w:lineRule="exact"/>
        <w:ind w:firstLine="480" w:firstLineChars="200"/>
        <w:rPr>
          <w:rFonts w:hint="eastAsia" w:ascii="仿宋_GB2312" w:eastAsia="仿宋_GB2312" w:cs="Times New Roman"/>
          <w:sz w:val="24"/>
          <w:szCs w:val="24"/>
          <w:lang w:val="en-US" w:eastAsia="zh-CN"/>
        </w:rPr>
      </w:pPr>
      <w:r>
        <w:rPr>
          <w:rFonts w:hint="eastAsia" w:ascii="仿宋_GB2312" w:eastAsia="仿宋_GB2312" w:cs="Times New Roman"/>
          <w:sz w:val="24"/>
          <w:szCs w:val="24"/>
          <w:lang w:val="en-US" w:eastAsia="zh-CN"/>
        </w:rPr>
        <w:t>（一）</w:t>
      </w:r>
      <w:r>
        <w:rPr>
          <w:rFonts w:hint="eastAsia" w:ascii="仿宋_GB2312" w:hAnsi="Times New Roman" w:eastAsia="仿宋_GB2312" w:cs="Times New Roman"/>
          <w:sz w:val="24"/>
          <w:szCs w:val="24"/>
          <w:lang w:val="en-US" w:eastAsia="zh-CN"/>
        </w:rPr>
        <w:t>明确项目目标与责任</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克服麻痹思想，强化责任落实</w:t>
      </w:r>
      <w:r>
        <w:rPr>
          <w:rFonts w:hint="eastAsia" w:ascii="仿宋_GB2312" w:eastAsia="仿宋_GB2312" w:cs="Times New Roman"/>
          <w:sz w:val="24"/>
          <w:szCs w:val="24"/>
          <w:lang w:val="en-US" w:eastAsia="zh-CN"/>
        </w:rPr>
        <w:t>；</w:t>
      </w:r>
    </w:p>
    <w:p w14:paraId="7C2D5EC0">
      <w:pPr>
        <w:numPr>
          <w:ilvl w:val="0"/>
          <w:numId w:val="0"/>
        </w:num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（二）</w:t>
      </w:r>
      <w:r>
        <w:rPr>
          <w:rFonts w:hint="eastAsia" w:ascii="仿宋_GB2312" w:hAnsi="Times New Roman" w:eastAsia="仿宋_GB2312" w:cs="Times New Roman"/>
          <w:sz w:val="24"/>
          <w:szCs w:val="24"/>
          <w:lang w:val="en-US" w:eastAsia="zh-CN"/>
        </w:rPr>
        <w:t>加强资金管理与使用</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实施精细化管理，提升堤防质量</w:t>
      </w:r>
      <w:r>
        <w:rPr>
          <w:rFonts w:hint="eastAsia" w:ascii="仿宋_GB2312" w:eastAsia="仿宋_GB2312" w:cs="Times New Roman"/>
          <w:sz w:val="24"/>
          <w:szCs w:val="24"/>
          <w:lang w:val="en-US" w:eastAsia="zh-CN"/>
        </w:rPr>
        <w:t>；</w:t>
      </w:r>
    </w:p>
    <w:p w14:paraId="0C5B77D5">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三）强化项目管理与执行</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注重思想教育，增强群众意识</w:t>
      </w:r>
      <w:r>
        <w:rPr>
          <w:rFonts w:hint="eastAsia" w:ascii="仿宋_GB2312" w:eastAsia="仿宋_GB2312" w:cs="Times New Roman"/>
          <w:sz w:val="24"/>
          <w:szCs w:val="24"/>
          <w:lang w:val="en-US" w:eastAsia="zh-CN"/>
        </w:rPr>
        <w:t>；</w:t>
      </w:r>
    </w:p>
    <w:p w14:paraId="6AC758AB">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（四）加强监督与评估</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建立联动机制，形成工作合力</w:t>
      </w:r>
      <w:r>
        <w:rPr>
          <w:rFonts w:hint="eastAsia" w:ascii="仿宋_GB2312" w:eastAsia="仿宋_GB2312" w:cs="Times New Roman"/>
          <w:sz w:val="24"/>
          <w:szCs w:val="24"/>
          <w:lang w:val="en-US" w:eastAsia="zh-CN"/>
        </w:rPr>
        <w:t>。</w:t>
      </w:r>
    </w:p>
    <w:p w14:paraId="173772FE">
      <w:pPr>
        <w:spacing w:line="560" w:lineRule="exact"/>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这些经验和做法为怀远县河道堤防管理工作的顺利开展提供了有力保障。</w:t>
      </w:r>
    </w:p>
    <w:p w14:paraId="1B26F910">
      <w:pPr>
        <w:spacing w:line="560" w:lineRule="exact"/>
        <w:ind w:firstLine="640" w:firstLineChars="200"/>
        <w:outlineLvl w:val="0"/>
        <w:rPr>
          <w:rFonts w:ascii="黑体" w:hAnsi="黑体" w:eastAsia="黑体" w:cs="Times New Roman"/>
          <w:bCs/>
          <w:sz w:val="24"/>
          <w:szCs w:val="24"/>
        </w:rPr>
      </w:pPr>
      <w:bookmarkStart w:id="15" w:name="_Toc2815"/>
      <w:r>
        <w:rPr>
          <w:rFonts w:hint="eastAsia" w:ascii="黑体" w:hAnsi="黑体" w:eastAsia="黑体" w:cs="黑体"/>
          <w:sz w:val="32"/>
          <w:szCs w:val="32"/>
          <w:lang w:val="en-US" w:eastAsia="zh-CN"/>
        </w:rPr>
        <w:t>五</w:t>
      </w:r>
      <w:r>
        <w:rPr>
          <w:rFonts w:hint="eastAsia" w:ascii="黑体" w:hAnsi="黑体" w:eastAsia="黑体" w:cs="黑体"/>
          <w:bCs/>
          <w:sz w:val="32"/>
          <w:szCs w:val="32"/>
        </w:rPr>
        <w:t>、存在问题及原因分析</w:t>
      </w:r>
      <w:bookmarkEnd w:id="15"/>
    </w:p>
    <w:p w14:paraId="3AEB5F21">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一是绩效目标设置较为简单，需要进一步明确项目指标设置。缺少效益指标。不能细化量化考核实际效果；</w:t>
      </w:r>
    </w:p>
    <w:p w14:paraId="5F798B08">
      <w:pPr>
        <w:spacing w:line="560" w:lineRule="exact"/>
        <w:ind w:firstLine="480" w:firstLineChars="200"/>
        <w:rPr>
          <w:rFonts w:hint="default" w:ascii="仿宋_GB2312"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二是资金分配与监管问题</w:t>
      </w:r>
      <w:r>
        <w:rPr>
          <w:rFonts w:hint="eastAsia" w:ascii="仿宋_GB2312" w:eastAsia="仿宋_GB2312" w:cs="Times New Roman"/>
          <w:sz w:val="24"/>
          <w:szCs w:val="24"/>
          <w:lang w:val="en-US" w:eastAsia="zh-CN"/>
        </w:rPr>
        <w:t>，导致中途进行预算追加，在预算执行中才发现预算不足，资金监管不到位。</w:t>
      </w:r>
    </w:p>
    <w:p w14:paraId="15818811">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三是项目管理与执行问题</w:t>
      </w:r>
      <w:r>
        <w:rPr>
          <w:rFonts w:hint="eastAsia" w:ascii="仿宋_GB2312" w:eastAsia="仿宋_GB2312" w:cs="Times New Roman"/>
          <w:sz w:val="24"/>
          <w:szCs w:val="24"/>
          <w:lang w:val="en-US" w:eastAsia="zh-CN"/>
        </w:rPr>
        <w:t>，没发现在平时工作中有提出管理需求，也没有对</w:t>
      </w:r>
      <w:r>
        <w:rPr>
          <w:rFonts w:hint="eastAsia" w:ascii="仿宋_GB2312" w:hAnsi="Times New Roman" w:eastAsia="仿宋_GB2312" w:cs="Times New Roman"/>
          <w:sz w:val="24"/>
          <w:szCs w:val="24"/>
          <w:lang w:val="en-US" w:eastAsia="zh-CN"/>
        </w:rPr>
        <w:t>河道堤防</w:t>
      </w:r>
      <w:r>
        <w:rPr>
          <w:rFonts w:hint="eastAsia" w:ascii="仿宋_GB2312" w:eastAsia="仿宋_GB2312" w:cs="Times New Roman"/>
          <w:sz w:val="24"/>
          <w:szCs w:val="24"/>
          <w:lang w:val="en-US" w:eastAsia="zh-CN"/>
        </w:rPr>
        <w:t>在执行维护中发挥监督作用。</w:t>
      </w:r>
    </w:p>
    <w:p w14:paraId="31C7AC53">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四是监管环节不连贯，河道堤防</w:t>
      </w:r>
      <w:r>
        <w:rPr>
          <w:rFonts w:hint="eastAsia" w:ascii="仿宋_GB2312" w:eastAsia="仿宋_GB2312" w:cs="Times New Roman"/>
          <w:sz w:val="24"/>
          <w:szCs w:val="24"/>
          <w:lang w:val="en-US" w:eastAsia="zh-CN"/>
        </w:rPr>
        <w:t>工程在维护中有无监管，水利局只是根据文件或纪要付款，质量与效果无从查看。</w:t>
      </w:r>
    </w:p>
    <w:p w14:paraId="7B84F65D">
      <w:pPr>
        <w:spacing w:line="560" w:lineRule="exact"/>
        <w:ind w:firstLine="640" w:firstLineChars="200"/>
        <w:outlineLvl w:val="0"/>
        <w:rPr>
          <w:rFonts w:ascii="黑体" w:hAnsi="黑体" w:eastAsia="黑体" w:cs="Times New Roman"/>
          <w:bCs/>
          <w:sz w:val="24"/>
          <w:szCs w:val="24"/>
        </w:rPr>
      </w:pPr>
      <w:bookmarkStart w:id="16" w:name="_Toc13766"/>
      <w:r>
        <w:rPr>
          <w:rFonts w:hint="eastAsia" w:ascii="黑体" w:hAnsi="黑体" w:eastAsia="黑体" w:cs="黑体"/>
          <w:sz w:val="32"/>
          <w:szCs w:val="32"/>
          <w:lang w:val="en-US" w:eastAsia="zh-CN"/>
        </w:rPr>
        <w:t>六</w:t>
      </w:r>
      <w:r>
        <w:rPr>
          <w:rFonts w:hint="eastAsia" w:ascii="黑体" w:hAnsi="黑体" w:eastAsia="黑体" w:cs="黑体"/>
          <w:bCs/>
          <w:sz w:val="32"/>
          <w:szCs w:val="32"/>
        </w:rPr>
        <w:t>、有关建议</w:t>
      </w:r>
      <w:bookmarkEnd w:id="16"/>
    </w:p>
    <w:p w14:paraId="40D8EC44">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为进一步提高资金使用效益，针对存在的问题，提出如下建议：</w:t>
      </w:r>
    </w:p>
    <w:p w14:paraId="1203B6CF">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一是完善绩效目标编制，细化绩效指标值；在编制绩效目标时，怀远县水利局应加强财务部门与项目实施部门之间的信息沟通，共同参与绩效目标编制，根据项目的实际情况、工作计划等合理设置绩效目标，细化量化指标值，便于</w:t>
      </w:r>
      <w:r>
        <w:rPr>
          <w:rFonts w:hint="eastAsia" w:ascii="仿宋_GB2312" w:eastAsia="仿宋_GB2312" w:cs="Times New Roman"/>
          <w:sz w:val="24"/>
          <w:szCs w:val="24"/>
          <w:lang w:val="en-US" w:eastAsia="zh-CN"/>
        </w:rPr>
        <w:t xml:space="preserve"> </w:t>
      </w:r>
      <w:r>
        <w:rPr>
          <w:rFonts w:hint="eastAsia" w:ascii="仿宋_GB2312" w:hAnsi="Times New Roman" w:eastAsia="仿宋_GB2312" w:cs="Times New Roman"/>
          <w:sz w:val="24"/>
          <w:szCs w:val="24"/>
          <w:lang w:val="en-US" w:eastAsia="zh-CN"/>
        </w:rPr>
        <w:t>项目绩效管理。</w:t>
      </w:r>
    </w:p>
    <w:p w14:paraId="1C329038">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二是加强业务条线管理，做好</w:t>
      </w:r>
      <w:r>
        <w:rPr>
          <w:rFonts w:hint="eastAsia" w:ascii="仿宋_GB2312" w:eastAsia="仿宋_GB2312" w:cs="Times New Roman"/>
          <w:sz w:val="24"/>
          <w:szCs w:val="24"/>
          <w:lang w:val="en-US" w:eastAsia="zh-CN"/>
        </w:rPr>
        <w:t>资金分配与监管，要落实资金使用方向，确保资金使用在预算项目中</w:t>
      </w:r>
      <w:r>
        <w:rPr>
          <w:rFonts w:hint="eastAsia" w:ascii="仿宋_GB2312" w:hAnsi="Times New Roman" w:eastAsia="仿宋_GB2312" w:cs="Times New Roman"/>
          <w:sz w:val="24"/>
          <w:szCs w:val="24"/>
          <w:lang w:val="en-US" w:eastAsia="zh-CN"/>
        </w:rPr>
        <w:t>。</w:t>
      </w:r>
    </w:p>
    <w:p w14:paraId="50F068B0">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三是强化内部流程制度的制定与落实。根据项目申请到项目落实及后期的管理要制定一个具体的管理办法，完善财务制度，保证专款专用不准挪用项目资金。</w:t>
      </w:r>
    </w:p>
    <w:p w14:paraId="7A275288">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四是严格落实</w:t>
      </w:r>
      <w:r>
        <w:rPr>
          <w:rFonts w:hint="eastAsia" w:ascii="仿宋_GB2312" w:eastAsia="仿宋_GB2312" w:cs="Times New Roman"/>
          <w:sz w:val="24"/>
          <w:szCs w:val="24"/>
          <w:lang w:val="en-US" w:eastAsia="zh-CN"/>
        </w:rPr>
        <w:t>会议精神确保</w:t>
      </w:r>
      <w:r>
        <w:rPr>
          <w:rFonts w:hint="eastAsia" w:ascii="仿宋_GB2312" w:hAnsi="Times New Roman" w:eastAsia="仿宋_GB2312" w:cs="Times New Roman"/>
          <w:sz w:val="24"/>
          <w:szCs w:val="24"/>
          <w:lang w:val="en-US" w:eastAsia="zh-CN"/>
        </w:rPr>
        <w:t>河道堤防</w:t>
      </w:r>
      <w:r>
        <w:rPr>
          <w:rFonts w:hint="eastAsia" w:ascii="仿宋_GB2312" w:eastAsia="仿宋_GB2312" w:cs="Times New Roman"/>
          <w:sz w:val="24"/>
          <w:szCs w:val="24"/>
          <w:lang w:val="en-US" w:eastAsia="zh-CN"/>
        </w:rPr>
        <w:t>工程</w:t>
      </w:r>
      <w:r>
        <w:rPr>
          <w:rFonts w:hint="eastAsia" w:ascii="仿宋_GB2312" w:hAnsi="Times New Roman" w:eastAsia="仿宋_GB2312" w:cs="Times New Roman"/>
          <w:sz w:val="24"/>
          <w:szCs w:val="24"/>
          <w:lang w:val="en-US" w:eastAsia="zh-CN"/>
        </w:rPr>
        <w:t>工程</w:t>
      </w:r>
      <w:r>
        <w:rPr>
          <w:rFonts w:hint="eastAsia" w:ascii="仿宋_GB2312" w:eastAsia="仿宋_GB2312" w:cs="Times New Roman"/>
          <w:sz w:val="24"/>
          <w:szCs w:val="24"/>
          <w:lang w:val="en-US" w:eastAsia="zh-CN"/>
        </w:rPr>
        <w:t>达标安全正常运行</w:t>
      </w:r>
      <w:r>
        <w:rPr>
          <w:rFonts w:hint="eastAsia" w:ascii="仿宋_GB2312" w:hAnsi="Times New Roman" w:eastAsia="仿宋_GB2312" w:cs="Times New Roman"/>
          <w:sz w:val="24"/>
          <w:szCs w:val="24"/>
          <w:lang w:val="en-US" w:eastAsia="zh-CN"/>
        </w:rPr>
        <w:t>。</w:t>
      </w:r>
    </w:p>
    <w:p w14:paraId="61C32A51">
      <w:pPr>
        <w:pStyle w:val="3"/>
        <w:rPr>
          <w:rFonts w:hint="default" w:eastAsia="仿宋_GB2312"/>
          <w:lang w:val="en-US" w:eastAsia="zh-CN"/>
        </w:rPr>
      </w:pPr>
    </w:p>
    <w:p w14:paraId="76E9A286">
      <w:pPr>
        <w:widowControl/>
        <w:shd w:val="clear" w:color="auto" w:fill="FFFFFF"/>
        <w:ind w:firstLine="560" w:firstLineChars="200"/>
        <w:rPr>
          <w:rFonts w:hint="default" w:ascii="仿宋" w:hAnsi="仿宋" w:eastAsia="仿宋" w:cs="仿宋"/>
          <w:color w:val="333333"/>
          <w:kern w:val="0"/>
          <w:sz w:val="28"/>
          <w:szCs w:val="28"/>
          <w:lang w:val="en-US" w:eastAsia="zh-CN"/>
        </w:rPr>
      </w:pPr>
    </w:p>
    <w:p w14:paraId="37849ACB">
      <w:pPr>
        <w:widowControl/>
        <w:shd w:val="clear" w:color="auto" w:fill="FFFFFF"/>
        <w:ind w:firstLine="560" w:firstLineChars="200"/>
        <w:rPr>
          <w:rFonts w:hint="default" w:ascii="仿宋" w:hAnsi="仿宋" w:eastAsia="仿宋" w:cs="仿宋"/>
          <w:color w:val="333333"/>
          <w:kern w:val="0"/>
          <w:sz w:val="28"/>
          <w:szCs w:val="28"/>
          <w:lang w:val="en-US" w:eastAsia="zh-CN"/>
        </w:rPr>
      </w:pPr>
    </w:p>
    <w:p w14:paraId="6A892347">
      <w:pPr>
        <w:widowControl/>
        <w:shd w:val="clear" w:color="auto" w:fill="FFFFFF"/>
        <w:ind w:firstLine="600"/>
        <w:rPr>
          <w:rFonts w:hint="eastAsia" w:ascii="仿宋" w:hAnsi="仿宋" w:eastAsia="仿宋" w:cs="仿宋"/>
          <w:color w:val="333333"/>
          <w:kern w:val="0"/>
          <w:sz w:val="28"/>
          <w:szCs w:val="28"/>
          <w:lang w:val="en-US" w:eastAsia="zh-CN"/>
        </w:rPr>
      </w:pPr>
    </w:p>
    <w:p w14:paraId="32E8A9AF">
      <w:pPr>
        <w:widowControl/>
        <w:shd w:val="clear" w:color="auto" w:fill="FFFFFF"/>
        <w:ind w:firstLine="640"/>
        <w:rPr>
          <w:rFonts w:ascii="Times New Roman" w:hAnsi="Times New Roman" w:eastAsia="微软雅黑"/>
          <w:color w:val="333333"/>
          <w:kern w:val="0"/>
          <w:sz w:val="30"/>
          <w:szCs w:val="30"/>
        </w:rPr>
      </w:pPr>
    </w:p>
    <w:p w14:paraId="23354D98">
      <w:pPr>
        <w:keepNext w:val="0"/>
        <w:keepLines w:val="0"/>
        <w:widowControl/>
        <w:suppressLineNumbers w:val="0"/>
        <w:jc w:val="left"/>
      </w:pPr>
    </w:p>
    <w:p w14:paraId="51BD81F1">
      <w:pPr>
        <w:widowControl/>
        <w:shd w:val="clear" w:color="auto" w:fill="FFFFFF"/>
        <w:ind w:firstLine="600"/>
        <w:rPr>
          <w:rFonts w:hint="eastAsia" w:ascii="仿宋" w:hAnsi="仿宋" w:eastAsia="仿宋" w:cs="仿宋"/>
          <w:color w:val="333333"/>
          <w:kern w:val="0"/>
          <w:sz w:val="28"/>
          <w:szCs w:val="28"/>
        </w:rPr>
      </w:pPr>
    </w:p>
    <w:p w14:paraId="42858D08">
      <w:pPr>
        <w:widowControl/>
        <w:shd w:val="clear" w:color="auto" w:fill="FFFFFF"/>
        <w:ind w:firstLine="600"/>
        <w:rPr>
          <w:rFonts w:hint="eastAsia" w:ascii="仿宋" w:hAnsi="仿宋" w:eastAsia="仿宋" w:cs="仿宋"/>
          <w:color w:val="333333"/>
          <w:kern w:val="0"/>
          <w:sz w:val="28"/>
          <w:szCs w:val="28"/>
        </w:rPr>
      </w:pPr>
    </w:p>
    <w:p w14:paraId="1F5076E0">
      <w:pPr>
        <w:widowControl/>
        <w:shd w:val="clear" w:color="auto" w:fill="FFFFFF"/>
        <w:spacing w:line="560" w:lineRule="atLeast"/>
        <w:jc w:val="center"/>
        <w:rPr>
          <w:rFonts w:hint="eastAsia" w:ascii="仿宋" w:hAnsi="仿宋" w:eastAsia="仿宋" w:cs="仿宋"/>
          <w:b/>
          <w:bCs/>
          <w:color w:val="000000"/>
          <w:kern w:val="0"/>
          <w:sz w:val="36"/>
          <w:szCs w:val="36"/>
          <w:lang w:val="en-US" w:eastAsia="zh-CN"/>
        </w:rPr>
      </w:pPr>
      <w:bookmarkStart w:id="17" w:name="_Toc27814"/>
      <w:r>
        <w:rPr>
          <w:rFonts w:hint="eastAsia" w:ascii="仿宋" w:hAnsi="仿宋" w:eastAsia="仿宋" w:cs="仿宋"/>
          <w:b/>
          <w:bCs/>
          <w:color w:val="000000"/>
          <w:kern w:val="0"/>
          <w:sz w:val="36"/>
          <w:szCs w:val="36"/>
          <w:lang w:val="en-US" w:eastAsia="zh-CN"/>
        </w:rPr>
        <w:t>怀远县水利局</w:t>
      </w:r>
      <w:r>
        <w:rPr>
          <w:rFonts w:hint="eastAsia" w:ascii="仿宋" w:hAnsi="仿宋" w:eastAsia="仿宋" w:cs="仿宋"/>
          <w:b/>
          <w:bCs/>
          <w:color w:val="000000"/>
          <w:kern w:val="0"/>
          <w:sz w:val="36"/>
          <w:szCs w:val="36"/>
        </w:rPr>
        <w:t>202</w:t>
      </w:r>
      <w:r>
        <w:rPr>
          <w:rFonts w:hint="eastAsia" w:ascii="仿宋" w:hAnsi="仿宋" w:eastAsia="仿宋" w:cs="仿宋"/>
          <w:b/>
          <w:bCs/>
          <w:color w:val="000000"/>
          <w:kern w:val="0"/>
          <w:sz w:val="36"/>
          <w:szCs w:val="36"/>
          <w:lang w:val="en-US" w:eastAsia="zh-CN"/>
        </w:rPr>
        <w:t>3</w:t>
      </w:r>
      <w:r>
        <w:rPr>
          <w:rFonts w:hint="eastAsia" w:ascii="仿宋" w:hAnsi="仿宋" w:eastAsia="仿宋" w:cs="仿宋"/>
          <w:b/>
          <w:bCs/>
          <w:color w:val="000000"/>
          <w:kern w:val="0"/>
          <w:sz w:val="36"/>
          <w:szCs w:val="36"/>
        </w:rPr>
        <w:t>年度</w:t>
      </w:r>
      <w:r>
        <w:rPr>
          <w:rFonts w:hint="eastAsia" w:ascii="仿宋" w:hAnsi="仿宋" w:eastAsia="仿宋" w:cs="仿宋"/>
          <w:b/>
          <w:bCs/>
          <w:color w:val="000000"/>
          <w:kern w:val="0"/>
          <w:sz w:val="36"/>
          <w:szCs w:val="36"/>
          <w:lang w:val="en-US" w:eastAsia="zh-CN"/>
        </w:rPr>
        <w:t xml:space="preserve">县管堤防及涵闸运管经费       </w:t>
      </w:r>
      <w:r>
        <w:rPr>
          <w:rFonts w:hint="eastAsia" w:ascii="仿宋" w:hAnsi="仿宋" w:eastAsia="仿宋" w:cs="仿宋"/>
          <w:b/>
          <w:bCs/>
          <w:color w:val="000000"/>
          <w:kern w:val="0"/>
          <w:sz w:val="36"/>
          <w:szCs w:val="36"/>
        </w:rPr>
        <w:t xml:space="preserve"> </w:t>
      </w:r>
      <w:r>
        <w:rPr>
          <w:rFonts w:hint="eastAsia" w:ascii="仿宋" w:hAnsi="仿宋" w:eastAsia="仿宋" w:cs="仿宋"/>
          <w:b/>
          <w:bCs/>
          <w:color w:val="000000"/>
          <w:kern w:val="0"/>
          <w:sz w:val="36"/>
          <w:szCs w:val="36"/>
          <w:lang w:val="en-US" w:eastAsia="zh-CN"/>
        </w:rPr>
        <w:t xml:space="preserve">              </w:t>
      </w:r>
    </w:p>
    <w:p w14:paraId="31D8BA9B">
      <w:pPr>
        <w:widowControl/>
        <w:shd w:val="clear" w:color="auto" w:fill="FFFFFF"/>
        <w:spacing w:line="560" w:lineRule="atLeast"/>
        <w:ind w:firstLine="2891" w:firstLineChars="800"/>
        <w:jc w:val="both"/>
        <w:rPr>
          <w:rFonts w:hint="eastAsia" w:ascii="仿宋" w:hAnsi="仿宋" w:eastAsia="仿宋" w:cs="仿宋"/>
          <w:b/>
          <w:bCs/>
          <w:color w:val="000000"/>
          <w:kern w:val="0"/>
          <w:sz w:val="36"/>
          <w:szCs w:val="36"/>
        </w:rPr>
      </w:pPr>
      <w:r>
        <w:rPr>
          <w:rFonts w:hint="eastAsia" w:ascii="仿宋" w:hAnsi="仿宋" w:eastAsia="仿宋" w:cs="仿宋"/>
          <w:b/>
          <w:bCs/>
          <w:color w:val="000000"/>
          <w:kern w:val="0"/>
          <w:sz w:val="36"/>
          <w:szCs w:val="36"/>
        </w:rPr>
        <w:t>项目支出绩效评价报告</w:t>
      </w:r>
    </w:p>
    <w:p w14:paraId="38B35E59">
      <w:pPr>
        <w:spacing w:line="560" w:lineRule="exact"/>
        <w:ind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一、项目基本情况</w:t>
      </w:r>
      <w:bookmarkEnd w:id="17"/>
    </w:p>
    <w:p w14:paraId="50FC991C">
      <w:pPr>
        <w:spacing w:line="560" w:lineRule="exact"/>
        <w:ind w:firstLine="480" w:firstLineChars="200"/>
        <w:outlineLvl w:val="1"/>
        <w:rPr>
          <w:rFonts w:ascii="楷体_GB2312" w:hAnsi="Times New Roman" w:eastAsia="楷体_GB2312" w:cs="Times New Roman"/>
          <w:sz w:val="24"/>
          <w:szCs w:val="24"/>
        </w:rPr>
      </w:pPr>
      <w:bookmarkStart w:id="18" w:name="_Toc3481"/>
      <w:r>
        <w:rPr>
          <w:rFonts w:hint="eastAsia" w:ascii="楷体_GB2312" w:hAnsi="Times New Roman" w:eastAsia="楷体_GB2312" w:cs="Times New Roman"/>
          <w:sz w:val="24"/>
          <w:szCs w:val="24"/>
        </w:rPr>
        <w:t>（一）项目概况</w:t>
      </w:r>
      <w:bookmarkEnd w:id="18"/>
    </w:p>
    <w:p w14:paraId="6D0AC985">
      <w:pPr>
        <w:spacing w:line="560" w:lineRule="exact"/>
        <w:ind w:firstLine="720" w:firstLineChars="300"/>
        <w:rPr>
          <w:rFonts w:ascii="仿宋_GB2312" w:hAnsi="Times New Roman" w:eastAsia="仿宋_GB2312" w:cs="Times New Roman"/>
          <w:sz w:val="24"/>
          <w:szCs w:val="24"/>
        </w:rPr>
      </w:pPr>
      <w:r>
        <w:rPr>
          <w:rFonts w:hint="eastAsia" w:ascii="仿宋_GB2312" w:hAnsi="Times New Roman" w:eastAsia="仿宋_GB2312" w:cs="Times New Roman"/>
          <w:sz w:val="24"/>
          <w:szCs w:val="24"/>
        </w:rPr>
        <w:t>1.项目背景</w:t>
      </w:r>
    </w:p>
    <w:p w14:paraId="350CDFCF">
      <w:pPr>
        <w:spacing w:line="560" w:lineRule="exact"/>
        <w:ind w:left="239" w:leftChars="114"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新建的魏渡口闸、芡河新闸、严桥闸、清沟闸等涵闸的运管费，以及河道局代管的县管堤防涵闸运管费，是该项目的主要经费需求。此外，委托河道管理局代为管理的人员的工资、福利、养老保险等经费也来源于此。然而，自2015年开始全面取消河道堤防管理维护费以后，这些经费的来源无法得到保障，因此需要专门的运管经费项目来支持</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根据2018.10.30李维侠副县长批示同意将县管堤防涵闸运管经费列入2019年预算</w:t>
      </w:r>
      <w:r>
        <w:rPr>
          <w:rFonts w:hint="eastAsia" w:ascii="仿宋_GB2312" w:eastAsia="仿宋_GB2312" w:cs="Times New Roman"/>
          <w:sz w:val="24"/>
          <w:szCs w:val="24"/>
          <w:lang w:val="en-US" w:eastAsia="zh-CN"/>
        </w:rPr>
        <w:t>。</w:t>
      </w:r>
    </w:p>
    <w:p w14:paraId="3E65B6D1">
      <w:pPr>
        <w:spacing w:line="560" w:lineRule="exact"/>
        <w:ind w:firstLine="720" w:firstLineChars="3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2.项目主要内容及实施情况</w:t>
      </w:r>
    </w:p>
    <w:p w14:paraId="52572AC0">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（1）项目主要内容</w:t>
      </w:r>
    </w:p>
    <w:p w14:paraId="6474BC33">
      <w:pPr>
        <w:spacing w:line="560" w:lineRule="exact"/>
        <w:ind w:left="239" w:leftChars="114"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该项目的主要内容包括代管人员工资、福利、养老保险等经费的发放，以及代管堤防涵闸的运行维护费用。同时，还包括新建的魏渡口闸、芡河新闸、严桥闸、清沟闸等涵闸的运管费用。根据预算安排，2023年度该项目预算总额为120万元，其中80万元用于代管堤防维护及人员工资福利，40万元用于新建的魏渡口闸、芡河新闸及严桥闸、清沟闸等涵闸的维护运行。县政府常务会议纪要2020年第64次常务纪要，同意追加预算并根据市里纪要精神按实际情况动态调整。期间追加12.8万</w:t>
      </w:r>
      <w:r>
        <w:rPr>
          <w:rFonts w:hint="eastAsia" w:ascii="仿宋_GB2312" w:eastAsia="仿宋_GB2312" w:cs="Times New Roman"/>
          <w:sz w:val="24"/>
          <w:szCs w:val="24"/>
          <w:lang w:val="en-US" w:eastAsia="zh-CN"/>
        </w:rPr>
        <w:t>元，共计132.8万元。</w:t>
      </w:r>
    </w:p>
    <w:p w14:paraId="4E68B844">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（2）项目实施情况</w:t>
      </w:r>
    </w:p>
    <w:p w14:paraId="1CAC9530">
      <w:pPr>
        <w:spacing w:line="560" w:lineRule="exact"/>
        <w:ind w:left="239" w:leftChars="114"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怀远淮河河道管理局、怀远县机电排灌管理站及包集镇是该项目的主要实施主体。他们负责具体的堤防涵闸运行维护工作，并承担相应的责任。通过他们的努力，可以确保堤防涵闸的正常运行，发挥防洪除涝的综合效益。</w:t>
      </w:r>
    </w:p>
    <w:p w14:paraId="2532D57D">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3.资金投入和使用情况</w:t>
      </w:r>
    </w:p>
    <w:p w14:paraId="1B8E32FC">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怀远县县管堤防及涵闸运管经费2023年度预算申报120万元，追加预算12.8万元资金全部到位。使用情况如下：</w:t>
      </w:r>
    </w:p>
    <w:tbl>
      <w:tblPr>
        <w:tblStyle w:val="8"/>
        <w:tblW w:w="89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3"/>
        <w:gridCol w:w="2102"/>
        <w:gridCol w:w="3467"/>
        <w:gridCol w:w="2103"/>
      </w:tblGrid>
      <w:tr w14:paraId="7228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955" w:type="dxa"/>
            <w:gridSpan w:val="4"/>
            <w:tcBorders>
              <w:top w:val="nil"/>
              <w:left w:val="nil"/>
              <w:bottom w:val="nil"/>
              <w:right w:val="nil"/>
            </w:tcBorders>
            <w:shd w:val="clear" w:color="auto" w:fill="auto"/>
            <w:noWrap/>
            <w:vAlign w:val="center"/>
          </w:tcPr>
          <w:p w14:paraId="490C1071">
            <w:pPr>
              <w:spacing w:line="560" w:lineRule="exact"/>
              <w:ind w:firstLine="1920" w:firstLineChars="8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怀远县管堤防及涵闸运管经费支出明细表</w:t>
            </w:r>
          </w:p>
        </w:tc>
      </w:tr>
      <w:tr w14:paraId="11D4D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nil"/>
              <w:left w:val="nil"/>
              <w:bottom w:val="nil"/>
              <w:right w:val="nil"/>
            </w:tcBorders>
            <w:shd w:val="clear" w:color="auto" w:fill="auto"/>
            <w:noWrap/>
            <w:vAlign w:val="center"/>
          </w:tcPr>
          <w:p w14:paraId="532B760A">
            <w:pPr>
              <w:jc w:val="center"/>
              <w:rPr>
                <w:rFonts w:hint="eastAsia" w:ascii="仿宋_GB2312" w:hAnsi="Times New Roman" w:eastAsia="仿宋_GB2312" w:cs="Times New Roman"/>
                <w:kern w:val="2"/>
                <w:sz w:val="24"/>
                <w:szCs w:val="24"/>
                <w:lang w:val="en-US" w:eastAsia="zh-CN" w:bidi="ar-SA"/>
              </w:rPr>
            </w:pPr>
          </w:p>
        </w:tc>
        <w:tc>
          <w:tcPr>
            <w:tcW w:w="0" w:type="auto"/>
            <w:tcBorders>
              <w:top w:val="nil"/>
              <w:left w:val="nil"/>
              <w:bottom w:val="nil"/>
              <w:right w:val="nil"/>
            </w:tcBorders>
            <w:shd w:val="clear" w:color="auto" w:fill="auto"/>
            <w:noWrap/>
            <w:vAlign w:val="center"/>
          </w:tcPr>
          <w:p w14:paraId="1DC403E2">
            <w:pPr>
              <w:jc w:val="center"/>
              <w:rPr>
                <w:rFonts w:hint="eastAsia" w:ascii="仿宋_GB2312" w:hAnsi="Times New Roman" w:eastAsia="仿宋_GB2312" w:cs="Times New Roman"/>
                <w:kern w:val="2"/>
                <w:sz w:val="24"/>
                <w:szCs w:val="24"/>
                <w:lang w:val="en-US" w:eastAsia="zh-CN" w:bidi="ar-SA"/>
              </w:rPr>
            </w:pPr>
          </w:p>
        </w:tc>
        <w:tc>
          <w:tcPr>
            <w:tcW w:w="0" w:type="auto"/>
            <w:tcBorders>
              <w:top w:val="nil"/>
              <w:left w:val="nil"/>
              <w:bottom w:val="nil"/>
              <w:right w:val="nil"/>
            </w:tcBorders>
            <w:shd w:val="clear" w:color="auto" w:fill="auto"/>
            <w:noWrap/>
            <w:vAlign w:val="center"/>
          </w:tcPr>
          <w:p w14:paraId="5D86D677">
            <w:pPr>
              <w:jc w:val="center"/>
              <w:rPr>
                <w:rFonts w:hint="eastAsia" w:ascii="仿宋_GB2312" w:hAnsi="Times New Roman" w:eastAsia="仿宋_GB2312" w:cs="Times New Roman"/>
                <w:kern w:val="2"/>
                <w:sz w:val="24"/>
                <w:szCs w:val="24"/>
                <w:lang w:val="en-US" w:eastAsia="zh-CN" w:bidi="ar-SA"/>
              </w:rPr>
            </w:pPr>
          </w:p>
        </w:tc>
        <w:tc>
          <w:tcPr>
            <w:tcW w:w="0" w:type="auto"/>
            <w:tcBorders>
              <w:top w:val="nil"/>
              <w:left w:val="nil"/>
              <w:bottom w:val="nil"/>
              <w:right w:val="nil"/>
            </w:tcBorders>
            <w:shd w:val="clear" w:color="auto" w:fill="auto"/>
            <w:noWrap/>
            <w:vAlign w:val="center"/>
          </w:tcPr>
          <w:p w14:paraId="195E751E">
            <w:pPr>
              <w:keepNext w:val="0"/>
              <w:keepLines w:val="0"/>
              <w:widowControl/>
              <w:suppressLineNumbers w:val="0"/>
              <w:jc w:val="center"/>
              <w:textAlignment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单位：元</w:t>
            </w:r>
          </w:p>
        </w:tc>
      </w:tr>
      <w:tr w14:paraId="7B008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9B0A9">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D9988">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日期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4A41">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对应单位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E3AC">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金额</w:t>
            </w:r>
          </w:p>
        </w:tc>
      </w:tr>
      <w:tr w14:paraId="63476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3FD18">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B450C">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2023/6/15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29313">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怀远淮河河道管理局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1DFDB">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272,000.00 </w:t>
            </w:r>
          </w:p>
        </w:tc>
      </w:tr>
      <w:tr w14:paraId="5A6BB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7E31">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98D7E">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2023/2/16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1CB2">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怀远淮河河道管理局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7ECE6">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128,000.00 </w:t>
            </w:r>
          </w:p>
        </w:tc>
      </w:tr>
      <w:tr w14:paraId="6E689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F5AB2">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E90E">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2023/1/16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6AEE">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怀远淮河河道管理局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A767">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400,000.00 </w:t>
            </w:r>
          </w:p>
        </w:tc>
      </w:tr>
      <w:tr w14:paraId="27EE3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A320">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B46F">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2023/10/27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07707">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怀远淮河河道管理局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8002F">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128,000.00 </w:t>
            </w:r>
          </w:p>
        </w:tc>
      </w:tr>
      <w:tr w14:paraId="3DF48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D04B0">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3596">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2023/6/15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A928F">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怀远县机电排灌管理站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28952">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50,000.00 </w:t>
            </w:r>
          </w:p>
        </w:tc>
      </w:tr>
      <w:tr w14:paraId="23E5C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0674D">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1C34">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2023/3/27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F99A">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怀远县机电排灌管理站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E473">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300,000.00 </w:t>
            </w:r>
          </w:p>
        </w:tc>
      </w:tr>
      <w:tr w14:paraId="24720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815A3">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3EFC4">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2023/6/15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E6ED3">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怀远县包集镇人民政府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4076">
            <w:pPr>
              <w:spacing w:line="56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50,000.00 </w:t>
            </w:r>
          </w:p>
        </w:tc>
      </w:tr>
      <w:tr w14:paraId="4D43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D17DE">
            <w:pPr>
              <w:rPr>
                <w:rFonts w:hint="eastAsia" w:ascii="仿宋_GB2312" w:hAnsi="Times New Roman" w:eastAsia="仿宋_GB2312" w:cs="Times New Roman"/>
                <w:kern w:val="2"/>
                <w:sz w:val="24"/>
                <w:szCs w:val="24"/>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A214D">
            <w:pPr>
              <w:keepNext w:val="0"/>
              <w:keepLines w:val="0"/>
              <w:widowControl/>
              <w:suppressLineNumbers w:val="0"/>
              <w:jc w:val="left"/>
              <w:textAlignment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64B77">
            <w:pPr>
              <w:rPr>
                <w:rFonts w:hint="eastAsia" w:ascii="仿宋_GB2312" w:hAnsi="Times New Roman" w:eastAsia="仿宋_GB2312" w:cs="Times New Roman"/>
                <w:kern w:val="2"/>
                <w:sz w:val="24"/>
                <w:szCs w:val="24"/>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7C35A">
            <w:pPr>
              <w:keepNext w:val="0"/>
              <w:keepLines w:val="0"/>
              <w:widowControl/>
              <w:suppressLineNumbers w:val="0"/>
              <w:jc w:val="right"/>
              <w:textAlignment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xml:space="preserve">1,328,000.00 </w:t>
            </w:r>
          </w:p>
        </w:tc>
      </w:tr>
    </w:tbl>
    <w:p w14:paraId="689C660B">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202</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年</w:t>
      </w:r>
      <w:r>
        <w:rPr>
          <w:rFonts w:hint="eastAsia" w:ascii="仿宋_GB2312" w:eastAsia="仿宋_GB2312" w:cs="Times New Roman"/>
          <w:sz w:val="24"/>
          <w:szCs w:val="24"/>
          <w:lang w:val="en-US" w:eastAsia="zh-CN"/>
        </w:rPr>
        <w:t>水利局管堤防及涵闸运管经费全</w:t>
      </w:r>
      <w:r>
        <w:rPr>
          <w:rFonts w:hint="eastAsia" w:ascii="仿宋_GB2312" w:hAnsi="Times New Roman" w:eastAsia="仿宋_GB2312" w:cs="Times New Roman"/>
          <w:sz w:val="24"/>
          <w:szCs w:val="24"/>
        </w:rPr>
        <w:t>年预算资金</w:t>
      </w:r>
      <w:r>
        <w:rPr>
          <w:rFonts w:hint="eastAsia" w:ascii="仿宋_GB2312" w:eastAsia="仿宋_GB2312" w:cs="Times New Roman"/>
          <w:sz w:val="24"/>
          <w:szCs w:val="24"/>
          <w:lang w:val="en-US" w:eastAsia="zh-CN"/>
        </w:rPr>
        <w:t>120</w:t>
      </w:r>
      <w:r>
        <w:rPr>
          <w:rFonts w:hint="eastAsia" w:ascii="仿宋_GB2312" w:hAnsi="Times New Roman" w:eastAsia="仿宋_GB2312" w:cs="Times New Roman"/>
          <w:sz w:val="24"/>
          <w:szCs w:val="24"/>
        </w:rPr>
        <w:t>万元，</w:t>
      </w:r>
      <w:r>
        <w:rPr>
          <w:rFonts w:hint="eastAsia" w:ascii="仿宋_GB2312" w:eastAsia="仿宋_GB2312" w:cs="Times New Roman"/>
          <w:sz w:val="24"/>
          <w:szCs w:val="24"/>
          <w:lang w:val="en-US" w:eastAsia="zh-CN"/>
        </w:rPr>
        <w:t>追加预算12.8万元，</w:t>
      </w:r>
      <w:r>
        <w:rPr>
          <w:rFonts w:hint="eastAsia" w:ascii="仿宋_GB2312" w:hAnsi="Times New Roman" w:eastAsia="仿宋_GB2312" w:cs="Times New Roman"/>
          <w:sz w:val="24"/>
          <w:szCs w:val="24"/>
        </w:rPr>
        <w:t>实际到位资金</w:t>
      </w:r>
      <w:r>
        <w:rPr>
          <w:rFonts w:hint="eastAsia" w:ascii="仿宋_GB2312" w:eastAsia="仿宋_GB2312" w:cs="Times New Roman"/>
          <w:sz w:val="24"/>
          <w:szCs w:val="24"/>
          <w:lang w:val="en-US" w:eastAsia="zh-CN"/>
        </w:rPr>
        <w:t>132.8</w:t>
      </w:r>
      <w:r>
        <w:rPr>
          <w:rFonts w:hint="eastAsia" w:ascii="仿宋_GB2312" w:hAnsi="Times New Roman" w:eastAsia="仿宋_GB2312" w:cs="Times New Roman"/>
          <w:sz w:val="24"/>
          <w:szCs w:val="24"/>
        </w:rPr>
        <w:t>万元，实际支出资金</w:t>
      </w:r>
      <w:r>
        <w:rPr>
          <w:rFonts w:hint="eastAsia" w:ascii="仿宋_GB2312" w:eastAsia="仿宋_GB2312" w:cs="Times New Roman"/>
          <w:sz w:val="24"/>
          <w:szCs w:val="24"/>
          <w:lang w:val="en-US" w:eastAsia="zh-CN"/>
        </w:rPr>
        <w:t>132.8</w:t>
      </w:r>
      <w:r>
        <w:rPr>
          <w:rFonts w:hint="eastAsia" w:ascii="仿宋_GB2312" w:hAnsi="Times New Roman" w:eastAsia="仿宋_GB2312" w:cs="Times New Roman"/>
          <w:sz w:val="24"/>
          <w:szCs w:val="24"/>
        </w:rPr>
        <w:t>万元，资金到位率100%，预算执行率为100%</w:t>
      </w:r>
      <w:r>
        <w:rPr>
          <w:rFonts w:hint="eastAsia" w:ascii="仿宋_GB2312" w:eastAsia="仿宋_GB2312" w:cs="Times New Roman"/>
          <w:sz w:val="24"/>
          <w:szCs w:val="24"/>
          <w:lang w:val="en-US" w:eastAsia="zh-CN"/>
        </w:rPr>
        <w:t>但中途有追加预算</w:t>
      </w:r>
      <w:r>
        <w:rPr>
          <w:rFonts w:hint="eastAsia" w:ascii="仿宋_GB2312" w:hAnsi="Times New Roman" w:eastAsia="仿宋_GB2312" w:cs="Times New Roman"/>
          <w:sz w:val="24"/>
          <w:szCs w:val="24"/>
        </w:rPr>
        <w:t>。</w:t>
      </w:r>
    </w:p>
    <w:p w14:paraId="2AC4109B">
      <w:pPr>
        <w:spacing w:line="560" w:lineRule="exact"/>
        <w:ind w:firstLine="480" w:firstLineChars="200"/>
        <w:rPr>
          <w:rFonts w:hint="eastAsia" w:ascii="仿宋_GB2312" w:hAnsi="Times New Roman" w:eastAsia="仿宋_GB2312" w:cs="Times New Roman"/>
          <w:sz w:val="24"/>
          <w:szCs w:val="24"/>
        </w:rPr>
      </w:pPr>
      <w:bookmarkStart w:id="19" w:name="_Toc32417"/>
      <w:r>
        <w:rPr>
          <w:rFonts w:hint="eastAsia" w:ascii="仿宋_GB2312" w:hAnsi="Times New Roman" w:eastAsia="仿宋_GB2312" w:cs="Times New Roman"/>
          <w:sz w:val="24"/>
          <w:szCs w:val="24"/>
        </w:rPr>
        <w:t>（二）项目绩效目标</w:t>
      </w:r>
      <w:bookmarkEnd w:id="19"/>
    </w:p>
    <w:p w14:paraId="608FA401">
      <w:pPr>
        <w:spacing w:line="560" w:lineRule="exact"/>
        <w:ind w:firstLine="720" w:firstLineChars="3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1.总体目标</w:t>
      </w:r>
    </w:p>
    <w:p w14:paraId="48A0CC2E">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 xml:space="preserve">搞好荆山湖和汤渔湖行洪堤、新淝河堤防、四方湖引河堤防等委托怀远县淮河河道管理局代管的县管堤防日常运行维护工作。 做好新淝闸、刘桥闸等委托怀远县淮河河道管理局代管的涵闸以及包集镇管理的严桥闸、清沟闸及怀远县机电排灌管理站代管的魏渡口闸、芡河新闸运日常行维护工作。 </w:t>
      </w:r>
    </w:p>
    <w:p w14:paraId="564BF95F">
      <w:pPr>
        <w:pStyle w:val="3"/>
        <w:ind w:left="0" w:leftChars="0" w:firstLine="240" w:firstLineChars="1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 xml:space="preserve">   怀远县水利局2023年度县管堤防及涵闸运管经费项目的总体目标是进一步加强堤防涵闸运行管理水平，发挥防洪除涝综合效益，实现增产增收，保障人民生产生活水平提高，并充分发挥社会和经济效益，保障代管人员权益。这一目标体现了项目对于提升水利设施管理水平、保障防洪安全以及促进地方经济发展的重要性</w:t>
      </w:r>
    </w:p>
    <w:p w14:paraId="1BD7B2E0">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2.年度绩效目标</w:t>
      </w:r>
    </w:p>
    <w:p w14:paraId="219DEBE8">
      <w:pPr>
        <w:pStyle w:val="3"/>
        <w:ind w:left="0" w:leftChars="0"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维护堤防涵闸设施：确保荆山湖和汤渔湖行洪堤、新淝河堤防、四方湖引河堤防等委托怀远县淮河河道管理局代管的县管堤防日常运行维护工作得以顺利进行。同时，做好新淝闸、刘桥闸等委托怀远县淮河河道管理局代管的涵闸以及包集镇管理的严桥闸、清沟闸及怀远县机电排灌管理站代管的魏渡口闸、芡河新闸的日常运行维护工作。这些工作旨在保障堤防涵闸设施的安全稳定运行，提高防洪除涝能力。</w:t>
      </w:r>
    </w:p>
    <w:p w14:paraId="39D35184">
      <w:pPr>
        <w:pStyle w:val="3"/>
        <w:ind w:left="0" w:leftChars="0"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保障代管人员权益：按时发放代管人员的工资、福利和养老保险等经费，确保他们的合法权益得到保障。这有助于提高代管人员的工作积极性和责任心，进一步提升堤防涵闸的运行管理水平。</w:t>
      </w:r>
    </w:p>
    <w:p w14:paraId="413A9B03">
      <w:pPr>
        <w:pStyle w:val="3"/>
        <w:ind w:left="0" w:leftChars="0"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提升项目效益：通过加强堤防涵闸的运行管理，提高水利设施的利用效率和防洪除涝能力，从而促进农业生产增产增收，提高人民生活水平。同时，注重项目的社会效益和生态效益，确保项目对生态环境造成的不利影响最小化。</w:t>
      </w:r>
    </w:p>
    <w:p w14:paraId="42D149B4">
      <w:pPr>
        <w:pStyle w:val="3"/>
        <w:ind w:left="0" w:leftChars="0"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综上所述，怀远县水利局2023年度县管堤防及涵闸运管经费项目的总体目标与年度目标旨在全面提升堤防涵闸的运行管理水平，发挥防洪除涝综合效益，促进地方经济发展，并注重保障代管人员的权益和项目的社会效益、生态效益。</w:t>
      </w:r>
    </w:p>
    <w:p w14:paraId="1FF121D6">
      <w:pPr>
        <w:spacing w:line="560" w:lineRule="exact"/>
        <w:ind w:firstLine="480" w:firstLineChars="200"/>
        <w:outlineLvl w:val="0"/>
        <w:rPr>
          <w:rFonts w:ascii="黑体" w:hAnsi="黑体" w:eastAsia="黑体" w:cs="Times New Roman"/>
          <w:b/>
          <w:bCs/>
          <w:sz w:val="24"/>
          <w:szCs w:val="24"/>
        </w:rPr>
      </w:pPr>
      <w:r>
        <w:rPr>
          <w:rFonts w:hint="eastAsia" w:ascii="仿宋_GB2312" w:hAnsi="Times New Roman" w:eastAsia="仿宋_GB2312" w:cs="Times New Roman"/>
          <w:b w:val="0"/>
          <w:bCs w:val="0"/>
          <w:sz w:val="24"/>
          <w:szCs w:val="24"/>
          <w:lang w:val="en-US" w:eastAsia="zh-CN"/>
        </w:rPr>
        <w:t xml:space="preserve"> </w:t>
      </w:r>
      <w:bookmarkStart w:id="20" w:name="_Toc3602"/>
      <w:r>
        <w:rPr>
          <w:rFonts w:hint="eastAsia" w:ascii="黑体" w:hAnsi="黑体" w:eastAsia="黑体" w:cs="Times New Roman"/>
          <w:b w:val="0"/>
          <w:bCs w:val="0"/>
          <w:sz w:val="32"/>
          <w:szCs w:val="32"/>
        </w:rPr>
        <w:t>二、绩效评价工作开展情况</w:t>
      </w:r>
      <w:bookmarkEnd w:id="20"/>
    </w:p>
    <w:p w14:paraId="32A53CB5">
      <w:pPr>
        <w:spacing w:line="560" w:lineRule="exact"/>
        <w:ind w:firstLine="480" w:firstLineChars="200"/>
        <w:outlineLvl w:val="1"/>
        <w:rPr>
          <w:rFonts w:ascii="楷体_GB2312" w:hAnsi="Times New Roman" w:eastAsia="楷体_GB2312" w:cs="Times New Roman"/>
          <w:sz w:val="24"/>
          <w:szCs w:val="24"/>
        </w:rPr>
      </w:pPr>
      <w:bookmarkStart w:id="21" w:name="_Toc23951"/>
      <w:r>
        <w:rPr>
          <w:rFonts w:hint="eastAsia" w:ascii="楷体_GB2312" w:hAnsi="Times New Roman" w:eastAsia="楷体_GB2312" w:cs="Times New Roman"/>
          <w:sz w:val="24"/>
          <w:szCs w:val="24"/>
        </w:rPr>
        <w:t>（一）</w:t>
      </w:r>
      <w:bookmarkStart w:id="22" w:name="_Hlk79591799"/>
      <w:r>
        <w:rPr>
          <w:rFonts w:hint="eastAsia" w:ascii="楷体_GB2312" w:hAnsi="Times New Roman" w:eastAsia="楷体_GB2312" w:cs="Times New Roman"/>
          <w:sz w:val="24"/>
          <w:szCs w:val="24"/>
        </w:rPr>
        <w:t>绩效评价</w:t>
      </w:r>
      <w:bookmarkEnd w:id="22"/>
      <w:r>
        <w:rPr>
          <w:rFonts w:hint="eastAsia" w:ascii="楷体_GB2312" w:hAnsi="Times New Roman" w:eastAsia="楷体_GB2312" w:cs="Times New Roman"/>
          <w:sz w:val="24"/>
          <w:szCs w:val="24"/>
        </w:rPr>
        <w:t>目的、对象和范围</w:t>
      </w:r>
      <w:bookmarkEnd w:id="21"/>
    </w:p>
    <w:p w14:paraId="20EA7FE4">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 xml:space="preserve"> </w:t>
      </w:r>
      <w:r>
        <w:rPr>
          <w:rFonts w:hint="eastAsia" w:ascii="仿宋_GB2312" w:hAnsi="Times New Roman" w:eastAsia="仿宋_GB2312" w:cs="Times New Roman"/>
          <w:sz w:val="24"/>
          <w:szCs w:val="24"/>
        </w:rPr>
        <w:t>1.绩效评价目的。财政支出绩效评价是提高公共服务质量、提升公共支出有效手段。通过评价，深入了解</w:t>
      </w:r>
      <w:r>
        <w:rPr>
          <w:rFonts w:hint="eastAsia" w:ascii="仿宋_GB2312" w:hAnsi="Times New Roman" w:eastAsia="仿宋_GB2312" w:cs="Times New Roman"/>
          <w:sz w:val="24"/>
          <w:szCs w:val="24"/>
          <w:lang w:val="en-US" w:eastAsia="zh-CN"/>
        </w:rPr>
        <w:t>2023年度县管堤防及涵闸运管经费</w:t>
      </w:r>
      <w:r>
        <w:rPr>
          <w:rFonts w:hint="eastAsia" w:ascii="仿宋_GB2312" w:eastAsia="仿宋_GB2312" w:cs="Times New Roman"/>
          <w:sz w:val="24"/>
          <w:szCs w:val="24"/>
          <w:lang w:val="en-US" w:eastAsia="zh-CN"/>
        </w:rPr>
        <w:t>支出</w:t>
      </w:r>
      <w:r>
        <w:rPr>
          <w:rFonts w:hint="eastAsia" w:ascii="仿宋_GB2312" w:hAnsi="Times New Roman" w:eastAsia="仿宋_GB2312" w:cs="Times New Roman"/>
          <w:sz w:val="24"/>
          <w:szCs w:val="24"/>
        </w:rPr>
        <w:t>的决策、产出、过程和效益方面的详细情况，总结项目资金使用中的主要经验及存在问题，提出有针对性和可操作性的政策建议，不断提高财政资金管理水平和使用效益，为预算安排提供重要依据。</w:t>
      </w:r>
    </w:p>
    <w:p w14:paraId="3B77C017">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2.绩效评价对象。</w:t>
      </w:r>
      <w:r>
        <w:rPr>
          <w:rFonts w:hint="eastAsia" w:ascii="仿宋_GB2312" w:hAnsi="Times New Roman" w:eastAsia="仿宋_GB2312" w:cs="Times New Roman"/>
          <w:sz w:val="24"/>
          <w:szCs w:val="24"/>
          <w:lang w:val="en-US" w:eastAsia="zh-CN"/>
        </w:rPr>
        <w:t>2023年度县管堤防及涵闸运管经费项目支出</w:t>
      </w:r>
      <w:r>
        <w:rPr>
          <w:rFonts w:hint="eastAsia" w:ascii="仿宋_GB2312" w:hAnsi="Times New Roman" w:eastAsia="仿宋_GB2312" w:cs="Times New Roman"/>
          <w:sz w:val="24"/>
          <w:szCs w:val="24"/>
        </w:rPr>
        <w:t>。</w:t>
      </w:r>
    </w:p>
    <w:p w14:paraId="1B2F9FFC">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3.绩效评价范围。本次评价的范围是</w:t>
      </w:r>
      <w:r>
        <w:rPr>
          <w:rFonts w:hint="eastAsia" w:ascii="仿宋_GB2312" w:hAnsi="Times New Roman" w:eastAsia="仿宋_GB2312" w:cs="Times New Roman"/>
          <w:sz w:val="24"/>
          <w:szCs w:val="24"/>
          <w:lang w:val="en-US" w:eastAsia="zh-CN"/>
        </w:rPr>
        <w:t>2023年度县管堤防及涵闸运管经费项目支出</w:t>
      </w:r>
      <w:r>
        <w:rPr>
          <w:rFonts w:hint="eastAsia" w:ascii="仿宋_GB2312" w:hAnsi="Times New Roman" w:eastAsia="仿宋_GB2312" w:cs="Times New Roman"/>
          <w:sz w:val="24"/>
          <w:szCs w:val="24"/>
        </w:rPr>
        <w:t>，评价其绩效目标设定情况，资金投入和使用情况，为实现设定的绩效目标所制定的制度、采取的措施等，以及绩效目标最终的实现程度及效果。</w:t>
      </w:r>
    </w:p>
    <w:p w14:paraId="058E580D">
      <w:pPr>
        <w:spacing w:line="560" w:lineRule="exact"/>
        <w:ind w:firstLine="480" w:firstLineChars="200"/>
        <w:rPr>
          <w:rFonts w:hint="eastAsia" w:ascii="仿宋_GB2312" w:hAnsi="Times New Roman" w:eastAsia="仿宋_GB2312" w:cs="Times New Roman"/>
          <w:sz w:val="24"/>
          <w:szCs w:val="24"/>
        </w:rPr>
      </w:pPr>
      <w:bookmarkStart w:id="23" w:name="_Toc17751"/>
      <w:r>
        <w:rPr>
          <w:rFonts w:hint="eastAsia" w:ascii="仿宋_GB2312" w:hAnsi="Times New Roman" w:eastAsia="仿宋_GB2312" w:cs="Times New Roman"/>
          <w:sz w:val="24"/>
          <w:szCs w:val="24"/>
        </w:rPr>
        <w:t>（二）绩效评价原则、评价指标体系、评价方法、评价标准</w:t>
      </w:r>
      <w:bookmarkEnd w:id="23"/>
    </w:p>
    <w:p w14:paraId="1F38E37E">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1、评价原则</w:t>
      </w:r>
    </w:p>
    <w:p w14:paraId="3BA06CF1">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科学规范原则。绩效评价应当严格执行规定的程序，按照科学可行的要求，采用定量与定性分析相结合的方法。</w:t>
      </w:r>
    </w:p>
    <w:p w14:paraId="52F71048">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公正公开原则。绩效评价应当符合真实、客观、公正的要求，依法公开并接受监督。</w:t>
      </w:r>
    </w:p>
    <w:p w14:paraId="0A56B56B">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分级分类原则。绩效评价由各级财政部门、各预算部门根据评价对象的特点分类组织实施。</w:t>
      </w:r>
    </w:p>
    <w:p w14:paraId="7DCB2A76">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绩效相关原则。绩效评价应当针对具体支出及其产出绩效进行，评价结果应当清晰反映支出和产出绩效之间的紧密对应关系。</w:t>
      </w:r>
    </w:p>
    <w:p w14:paraId="145B4C13">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2、绩效评价指标体系</w:t>
      </w:r>
    </w:p>
    <w:p w14:paraId="0B283F81">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价指标体系分别从项目决策、项目过程、项目产出、项目效益四个方面对其财政支出进行评价，指标分值设计遵循了以结果为导向原则，注重产出和效益，适度关注决策、过程管理。本次绩效评价的指标分值设计，在此基础上对二、三级指标进行细分，根据二、三级指标与绩效目标的匹配性、在指标中的重要性、以及对一级指标的影响程度来合理确定评价指标的分值比例结构。</w:t>
      </w:r>
    </w:p>
    <w:p w14:paraId="5545BCB4">
      <w:pPr>
        <w:spacing w:line="560" w:lineRule="exact"/>
        <w:ind w:left="210" w:leftChars="100"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2023年度县管堤防及涵闸运管经费</w:t>
      </w:r>
      <w:r>
        <w:rPr>
          <w:rFonts w:hint="eastAsia" w:ascii="仿宋_GB2312" w:eastAsia="仿宋_GB2312" w:cs="Times New Roman"/>
          <w:sz w:val="24"/>
          <w:szCs w:val="24"/>
          <w:lang w:val="en-US" w:eastAsia="zh-CN"/>
        </w:rPr>
        <w:t>项目支出</w:t>
      </w:r>
      <w:r>
        <w:rPr>
          <w:rFonts w:hint="eastAsia" w:ascii="仿宋_GB2312" w:hAnsi="Times New Roman" w:eastAsia="仿宋_GB2312" w:cs="Times New Roman"/>
          <w:sz w:val="24"/>
          <w:szCs w:val="24"/>
        </w:rPr>
        <w:t>评价指标体系包括4项一级指标，1</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项二级指标，2</w:t>
      </w:r>
      <w:r>
        <w:rPr>
          <w:rFonts w:hint="eastAsia" w:ascii="仿宋_GB2312" w:eastAsia="仿宋_GB2312" w:cs="Times New Roman"/>
          <w:sz w:val="24"/>
          <w:szCs w:val="24"/>
          <w:lang w:val="en-US" w:eastAsia="zh-CN"/>
        </w:rPr>
        <w:t>1</w:t>
      </w:r>
      <w:bookmarkStart w:id="30" w:name="_GoBack"/>
      <w:bookmarkEnd w:id="30"/>
      <w:r>
        <w:rPr>
          <w:rFonts w:hint="eastAsia" w:ascii="仿宋_GB2312" w:hAnsi="Times New Roman" w:eastAsia="仿宋_GB2312" w:cs="Times New Roman"/>
          <w:sz w:val="24"/>
          <w:szCs w:val="24"/>
        </w:rPr>
        <w:t>项三级指标，满分为100分。具体如下：</w:t>
      </w:r>
    </w:p>
    <w:tbl>
      <w:tblPr>
        <w:tblStyle w:val="8"/>
        <w:tblW w:w="8255" w:type="dxa"/>
        <w:tblInd w:w="93" w:type="dxa"/>
        <w:tblLayout w:type="autofit"/>
        <w:tblCellMar>
          <w:top w:w="0" w:type="dxa"/>
          <w:left w:w="108" w:type="dxa"/>
          <w:bottom w:w="0" w:type="dxa"/>
          <w:right w:w="108" w:type="dxa"/>
        </w:tblCellMar>
      </w:tblPr>
      <w:tblGrid>
        <w:gridCol w:w="1205"/>
        <w:gridCol w:w="955"/>
        <w:gridCol w:w="1333"/>
        <w:gridCol w:w="827"/>
        <w:gridCol w:w="3054"/>
        <w:gridCol w:w="881"/>
      </w:tblGrid>
      <w:tr w14:paraId="68512B30">
        <w:tblPrEx>
          <w:tblCellMar>
            <w:top w:w="0" w:type="dxa"/>
            <w:left w:w="108" w:type="dxa"/>
            <w:bottom w:w="0" w:type="dxa"/>
            <w:right w:w="108" w:type="dxa"/>
          </w:tblCellMar>
        </w:tblPrEx>
        <w:trPr>
          <w:trHeight w:val="270" w:hRule="atLeast"/>
        </w:trPr>
        <w:tc>
          <w:tcPr>
            <w:tcW w:w="8255" w:type="dxa"/>
            <w:gridSpan w:val="6"/>
            <w:tcBorders>
              <w:top w:val="nil"/>
              <w:left w:val="nil"/>
              <w:bottom w:val="nil"/>
              <w:right w:val="nil"/>
            </w:tcBorders>
            <w:shd w:val="clear" w:color="auto" w:fill="auto"/>
            <w:noWrap/>
            <w:vAlign w:val="center"/>
          </w:tcPr>
          <w:p w14:paraId="21A7E93B">
            <w:pPr>
              <w:widowControl/>
              <w:jc w:val="center"/>
              <w:textAlignment w:val="center"/>
              <w:rPr>
                <w:rFonts w:ascii="宋体" w:hAnsi="宋体" w:eastAsia="宋体" w:cs="宋体"/>
                <w:color w:val="000000"/>
                <w:sz w:val="22"/>
              </w:rPr>
            </w:pPr>
            <w:r>
              <w:rPr>
                <w:rFonts w:hint="eastAsia" w:ascii="仿宋_GB2312" w:hAnsi="Times New Roman" w:eastAsia="仿宋_GB2312" w:cs="Times New Roman"/>
                <w:sz w:val="24"/>
                <w:szCs w:val="24"/>
                <w:lang w:val="en-US" w:eastAsia="zh-CN"/>
              </w:rPr>
              <w:t>绩效评价指标体系</w:t>
            </w:r>
          </w:p>
        </w:tc>
      </w:tr>
      <w:tr w14:paraId="234825A2">
        <w:tblPrEx>
          <w:tblCellMar>
            <w:top w:w="0" w:type="dxa"/>
            <w:left w:w="108" w:type="dxa"/>
            <w:bottom w:w="0" w:type="dxa"/>
            <w:right w:w="108" w:type="dxa"/>
          </w:tblCellMar>
        </w:tblPrEx>
        <w:trPr>
          <w:trHeight w:val="270" w:hRule="atLeast"/>
        </w:trPr>
        <w:tc>
          <w:tcPr>
            <w:tcW w:w="1205" w:type="dxa"/>
            <w:tcBorders>
              <w:top w:val="double" w:color="000000" w:sz="4" w:space="0"/>
              <w:left w:val="nil"/>
              <w:bottom w:val="single" w:color="000000" w:sz="8" w:space="0"/>
              <w:right w:val="single" w:color="000000" w:sz="8" w:space="0"/>
            </w:tcBorders>
            <w:shd w:val="clear" w:color="auto" w:fill="auto"/>
          </w:tcPr>
          <w:p w14:paraId="37C7F6D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一级指标</w:t>
            </w:r>
          </w:p>
        </w:tc>
        <w:tc>
          <w:tcPr>
            <w:tcW w:w="955" w:type="dxa"/>
            <w:tcBorders>
              <w:top w:val="double" w:color="000000" w:sz="4" w:space="0"/>
              <w:left w:val="single" w:color="000000" w:sz="8" w:space="0"/>
              <w:bottom w:val="single" w:color="000000" w:sz="8" w:space="0"/>
              <w:right w:val="single" w:color="000000" w:sz="8" w:space="0"/>
            </w:tcBorders>
            <w:shd w:val="clear" w:color="auto" w:fill="auto"/>
          </w:tcPr>
          <w:p w14:paraId="162D28D4">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分值</w:t>
            </w:r>
          </w:p>
        </w:tc>
        <w:tc>
          <w:tcPr>
            <w:tcW w:w="1333" w:type="dxa"/>
            <w:tcBorders>
              <w:top w:val="double" w:color="000000" w:sz="4" w:space="0"/>
              <w:left w:val="single" w:color="000000" w:sz="8" w:space="0"/>
              <w:bottom w:val="single" w:color="000000" w:sz="8" w:space="0"/>
              <w:right w:val="single" w:color="000000" w:sz="8" w:space="0"/>
            </w:tcBorders>
            <w:shd w:val="clear" w:color="auto" w:fill="auto"/>
          </w:tcPr>
          <w:p w14:paraId="172C0CBC">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二级指标</w:t>
            </w:r>
          </w:p>
        </w:tc>
        <w:tc>
          <w:tcPr>
            <w:tcW w:w="827" w:type="dxa"/>
            <w:tcBorders>
              <w:top w:val="double" w:color="000000" w:sz="4" w:space="0"/>
              <w:left w:val="single" w:color="000000" w:sz="8" w:space="0"/>
              <w:bottom w:val="single" w:color="000000" w:sz="8" w:space="0"/>
              <w:right w:val="single" w:color="000000" w:sz="8" w:space="0"/>
            </w:tcBorders>
            <w:shd w:val="clear" w:color="auto" w:fill="auto"/>
            <w:vAlign w:val="center"/>
          </w:tcPr>
          <w:p w14:paraId="1875AEC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分值</w:t>
            </w:r>
          </w:p>
        </w:tc>
        <w:tc>
          <w:tcPr>
            <w:tcW w:w="3054" w:type="dxa"/>
            <w:tcBorders>
              <w:top w:val="double" w:color="000000" w:sz="4" w:space="0"/>
              <w:left w:val="single" w:color="000000" w:sz="8" w:space="0"/>
              <w:bottom w:val="single" w:color="000000" w:sz="8" w:space="0"/>
              <w:right w:val="single" w:color="000000" w:sz="8" w:space="0"/>
            </w:tcBorders>
            <w:shd w:val="clear" w:color="auto" w:fill="auto"/>
            <w:vAlign w:val="center"/>
          </w:tcPr>
          <w:p w14:paraId="50B0525A">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三级指标</w:t>
            </w:r>
          </w:p>
        </w:tc>
        <w:tc>
          <w:tcPr>
            <w:tcW w:w="881" w:type="dxa"/>
            <w:tcBorders>
              <w:top w:val="double" w:color="000000" w:sz="4" w:space="0"/>
              <w:left w:val="single" w:color="000000" w:sz="8" w:space="0"/>
              <w:bottom w:val="single" w:color="000000" w:sz="8" w:space="0"/>
              <w:right w:val="nil"/>
            </w:tcBorders>
            <w:shd w:val="clear" w:color="auto" w:fill="auto"/>
          </w:tcPr>
          <w:p w14:paraId="1A649ADA">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分值</w:t>
            </w:r>
          </w:p>
        </w:tc>
      </w:tr>
      <w:tr w14:paraId="7103F1F2">
        <w:tblPrEx>
          <w:tblCellMar>
            <w:top w:w="0" w:type="dxa"/>
            <w:left w:w="108" w:type="dxa"/>
            <w:bottom w:w="0" w:type="dxa"/>
            <w:right w:w="108" w:type="dxa"/>
          </w:tblCellMar>
        </w:tblPrEx>
        <w:trPr>
          <w:trHeight w:val="45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4BA5D865">
            <w:pPr>
              <w:widowControl/>
              <w:jc w:val="center"/>
              <w:textAlignment w:val="center"/>
              <w:rPr>
                <w:rFonts w:hint="eastAsia" w:ascii="仿宋" w:hAnsi="仿宋" w:eastAsia="仿宋" w:cs="仿宋"/>
                <w:color w:val="000000"/>
                <w:sz w:val="24"/>
                <w:szCs w:val="24"/>
              </w:rPr>
            </w:pPr>
            <w:r>
              <w:rPr>
                <w:rFonts w:hint="eastAsia" w:ascii="仿宋_GB2312" w:hAnsi="Times New Roman" w:eastAsia="仿宋_GB2312" w:cs="Times New Roman"/>
                <w:sz w:val="24"/>
                <w:szCs w:val="24"/>
              </w:rPr>
              <w:t>决策</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0EF3122C">
            <w:pPr>
              <w:widowControl/>
              <w:jc w:val="center"/>
              <w:textAlignment w:val="center"/>
              <w:rPr>
                <w:rFonts w:hint="eastAsia" w:ascii="仿宋" w:hAnsi="仿宋" w:eastAsia="仿宋" w:cs="仿宋"/>
                <w:color w:val="000000"/>
                <w:sz w:val="24"/>
                <w:szCs w:val="24"/>
                <w:lang w:val="en-US" w:eastAsia="zh-CN"/>
              </w:rPr>
            </w:pPr>
            <w:r>
              <w:rPr>
                <w:rFonts w:hint="eastAsia" w:ascii="仿宋_GB2312" w:hAnsi="Times New Roman" w:eastAsia="仿宋_GB2312" w:cs="Times New Roman"/>
                <w:sz w:val="24"/>
                <w:szCs w:val="24"/>
                <w:lang w:val="en-US" w:eastAsia="zh-CN"/>
              </w:rPr>
              <w:t>30</w:t>
            </w: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66079147">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项目立项</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42BA9620">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10</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E152A23">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立项依据充分性</w:t>
            </w:r>
          </w:p>
        </w:tc>
        <w:tc>
          <w:tcPr>
            <w:tcW w:w="881" w:type="dxa"/>
            <w:tcBorders>
              <w:top w:val="nil"/>
              <w:left w:val="single" w:color="000000" w:sz="8" w:space="0"/>
              <w:bottom w:val="single" w:color="000000" w:sz="8" w:space="0"/>
              <w:right w:val="nil"/>
            </w:tcBorders>
            <w:shd w:val="clear" w:color="auto" w:fill="auto"/>
            <w:vAlign w:val="center"/>
          </w:tcPr>
          <w:p w14:paraId="6A1E5CC5">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71D6516F">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14AE542">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776B0DA6">
            <w:pPr>
              <w:jc w:val="center"/>
              <w:rPr>
                <w:rFonts w:hint="eastAsia" w:ascii="仿宋" w:hAnsi="仿宋" w:eastAsia="仿宋" w:cs="仿宋"/>
                <w:color w:val="000000"/>
                <w:sz w:val="24"/>
                <w:szCs w:val="24"/>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0D0FEAD4">
            <w:pPr>
              <w:widowControl/>
              <w:jc w:val="center"/>
              <w:textAlignment w:val="center"/>
              <w:rPr>
                <w:rFonts w:hint="eastAsia" w:ascii="仿宋_GB2312" w:hAnsi="Times New Roman" w:eastAsia="仿宋_GB2312" w:cs="Times New Roman"/>
                <w:sz w:val="24"/>
                <w:szCs w:val="24"/>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33295E70">
            <w:pPr>
              <w:widowControl/>
              <w:jc w:val="center"/>
              <w:textAlignment w:val="center"/>
              <w:rPr>
                <w:rFonts w:hint="eastAsia" w:ascii="仿宋_GB2312" w:hAnsi="Times New Roman" w:eastAsia="仿宋_GB2312" w:cs="Times New Roman"/>
                <w:sz w:val="24"/>
                <w:szCs w:val="24"/>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702BD05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立项程序规范性</w:t>
            </w:r>
          </w:p>
        </w:tc>
        <w:tc>
          <w:tcPr>
            <w:tcW w:w="881" w:type="dxa"/>
            <w:tcBorders>
              <w:top w:val="nil"/>
              <w:left w:val="single" w:color="000000" w:sz="8" w:space="0"/>
              <w:bottom w:val="single" w:color="000000" w:sz="8" w:space="0"/>
              <w:right w:val="nil"/>
            </w:tcBorders>
            <w:shd w:val="clear" w:color="auto" w:fill="auto"/>
            <w:vAlign w:val="center"/>
          </w:tcPr>
          <w:p w14:paraId="389218EC">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28658820">
        <w:tblPrEx>
          <w:tblCellMar>
            <w:top w:w="0" w:type="dxa"/>
            <w:left w:w="108" w:type="dxa"/>
            <w:bottom w:w="0" w:type="dxa"/>
            <w:right w:w="108" w:type="dxa"/>
          </w:tblCellMar>
        </w:tblPrEx>
        <w:trPr>
          <w:trHeight w:val="45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879F45A">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2AAEB668">
            <w:pPr>
              <w:jc w:val="center"/>
              <w:rPr>
                <w:rFonts w:hint="eastAsia" w:ascii="仿宋" w:hAnsi="仿宋" w:eastAsia="仿宋" w:cs="仿宋"/>
                <w:color w:val="000000"/>
                <w:sz w:val="24"/>
                <w:szCs w:val="24"/>
              </w:rPr>
            </w:pP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07B1E629">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绩效目标</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3D0955F5">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10</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23D2A59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绩效目标合理性</w:t>
            </w:r>
          </w:p>
        </w:tc>
        <w:tc>
          <w:tcPr>
            <w:tcW w:w="881" w:type="dxa"/>
            <w:tcBorders>
              <w:top w:val="nil"/>
              <w:left w:val="single" w:color="000000" w:sz="8" w:space="0"/>
              <w:bottom w:val="single" w:color="000000" w:sz="8" w:space="0"/>
              <w:right w:val="nil"/>
            </w:tcBorders>
            <w:shd w:val="clear" w:color="auto" w:fill="auto"/>
            <w:vAlign w:val="center"/>
          </w:tcPr>
          <w:p w14:paraId="676EC419">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375C5944">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F14F5AA">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7D5CB02D">
            <w:pPr>
              <w:jc w:val="center"/>
              <w:rPr>
                <w:rFonts w:hint="eastAsia" w:ascii="仿宋" w:hAnsi="仿宋" w:eastAsia="仿宋" w:cs="仿宋"/>
                <w:color w:val="000000"/>
                <w:sz w:val="24"/>
                <w:szCs w:val="24"/>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16254E26">
            <w:pPr>
              <w:widowControl/>
              <w:jc w:val="center"/>
              <w:textAlignment w:val="center"/>
              <w:rPr>
                <w:rFonts w:hint="eastAsia" w:ascii="仿宋_GB2312" w:hAnsi="Times New Roman" w:eastAsia="仿宋_GB2312" w:cs="Times New Roman"/>
                <w:sz w:val="24"/>
                <w:szCs w:val="24"/>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72D23990">
            <w:pPr>
              <w:widowControl/>
              <w:jc w:val="center"/>
              <w:textAlignment w:val="center"/>
              <w:rPr>
                <w:rFonts w:hint="eastAsia" w:ascii="仿宋_GB2312" w:hAnsi="Times New Roman" w:eastAsia="仿宋_GB2312" w:cs="Times New Roman"/>
                <w:sz w:val="24"/>
                <w:szCs w:val="24"/>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23A4E2F6">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绩效指标明确性</w:t>
            </w:r>
          </w:p>
        </w:tc>
        <w:tc>
          <w:tcPr>
            <w:tcW w:w="881" w:type="dxa"/>
            <w:tcBorders>
              <w:top w:val="nil"/>
              <w:left w:val="single" w:color="000000" w:sz="8" w:space="0"/>
              <w:bottom w:val="single" w:color="000000" w:sz="8" w:space="0"/>
              <w:right w:val="nil"/>
            </w:tcBorders>
            <w:shd w:val="clear" w:color="auto" w:fill="auto"/>
            <w:vAlign w:val="center"/>
          </w:tcPr>
          <w:p w14:paraId="37A3636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36A44D74">
        <w:tblPrEx>
          <w:tblCellMar>
            <w:top w:w="0" w:type="dxa"/>
            <w:left w:w="108" w:type="dxa"/>
            <w:bottom w:w="0" w:type="dxa"/>
            <w:right w:w="108" w:type="dxa"/>
          </w:tblCellMar>
        </w:tblPrEx>
        <w:trPr>
          <w:trHeight w:val="45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46E58EFD">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614F5FD4">
            <w:pPr>
              <w:jc w:val="center"/>
              <w:rPr>
                <w:rFonts w:hint="eastAsia" w:ascii="仿宋" w:hAnsi="仿宋" w:eastAsia="仿宋" w:cs="仿宋"/>
                <w:color w:val="000000"/>
                <w:sz w:val="24"/>
                <w:szCs w:val="24"/>
              </w:rPr>
            </w:pP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33BCA11C">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资金投入</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640F4181">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10</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0E8FE386">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预算编制科学性</w:t>
            </w:r>
          </w:p>
        </w:tc>
        <w:tc>
          <w:tcPr>
            <w:tcW w:w="881" w:type="dxa"/>
            <w:tcBorders>
              <w:top w:val="nil"/>
              <w:left w:val="single" w:color="000000" w:sz="8" w:space="0"/>
              <w:bottom w:val="single" w:color="000000" w:sz="8" w:space="0"/>
              <w:right w:val="nil"/>
            </w:tcBorders>
            <w:shd w:val="clear" w:color="auto" w:fill="auto"/>
            <w:vAlign w:val="center"/>
          </w:tcPr>
          <w:p w14:paraId="2553845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7125135B">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1F3A67C">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181F19E9">
            <w:pPr>
              <w:jc w:val="center"/>
              <w:rPr>
                <w:rFonts w:hint="eastAsia" w:ascii="仿宋" w:hAnsi="仿宋" w:eastAsia="仿宋" w:cs="仿宋"/>
                <w:color w:val="000000"/>
                <w:sz w:val="24"/>
                <w:szCs w:val="24"/>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3B3A9856">
            <w:pPr>
              <w:jc w:val="center"/>
              <w:rPr>
                <w:rFonts w:hint="eastAsia" w:ascii="仿宋" w:hAnsi="仿宋" w:eastAsia="仿宋" w:cs="仿宋"/>
                <w:color w:val="000000"/>
                <w:sz w:val="24"/>
                <w:szCs w:val="24"/>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415EBC07">
            <w:pPr>
              <w:jc w:val="center"/>
              <w:rPr>
                <w:rFonts w:hint="eastAsia" w:ascii="仿宋" w:hAnsi="仿宋" w:eastAsia="仿宋" w:cs="仿宋"/>
                <w:color w:val="000000"/>
                <w:sz w:val="24"/>
                <w:szCs w:val="24"/>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7C6788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资金分配合理性</w:t>
            </w:r>
          </w:p>
        </w:tc>
        <w:tc>
          <w:tcPr>
            <w:tcW w:w="881" w:type="dxa"/>
            <w:tcBorders>
              <w:top w:val="nil"/>
              <w:left w:val="single" w:color="000000" w:sz="8" w:space="0"/>
              <w:bottom w:val="single" w:color="000000" w:sz="8" w:space="0"/>
              <w:right w:val="nil"/>
            </w:tcBorders>
            <w:shd w:val="clear" w:color="auto" w:fill="auto"/>
            <w:vAlign w:val="center"/>
          </w:tcPr>
          <w:p w14:paraId="043FB182">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34989F5D">
        <w:tblPrEx>
          <w:tblCellMar>
            <w:top w:w="0" w:type="dxa"/>
            <w:left w:w="108" w:type="dxa"/>
            <w:bottom w:w="0" w:type="dxa"/>
            <w:right w:w="108" w:type="dxa"/>
          </w:tblCellMar>
        </w:tblPrEx>
        <w:trPr>
          <w:trHeight w:val="30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02F0FFA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过程</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46100D5B">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28</w:t>
            </w:r>
          </w:p>
        </w:tc>
        <w:tc>
          <w:tcPr>
            <w:tcW w:w="1333" w:type="dxa"/>
            <w:vMerge w:val="restart"/>
            <w:tcBorders>
              <w:top w:val="nil"/>
              <w:left w:val="single" w:color="000000" w:sz="8" w:space="0"/>
              <w:bottom w:val="single" w:color="000000" w:sz="8" w:space="0"/>
              <w:right w:val="single" w:color="000000" w:sz="8" w:space="0"/>
            </w:tcBorders>
            <w:shd w:val="clear" w:color="auto" w:fill="auto"/>
            <w:vAlign w:val="center"/>
          </w:tcPr>
          <w:p w14:paraId="2BA6D6F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资金管理</w:t>
            </w:r>
          </w:p>
        </w:tc>
        <w:tc>
          <w:tcPr>
            <w:tcW w:w="827" w:type="dxa"/>
            <w:vMerge w:val="restart"/>
            <w:tcBorders>
              <w:top w:val="nil"/>
              <w:left w:val="single" w:color="000000" w:sz="8" w:space="0"/>
              <w:bottom w:val="single" w:color="000000" w:sz="8" w:space="0"/>
              <w:right w:val="single" w:color="000000" w:sz="8" w:space="0"/>
            </w:tcBorders>
            <w:shd w:val="clear" w:color="auto" w:fill="auto"/>
            <w:vAlign w:val="center"/>
          </w:tcPr>
          <w:p w14:paraId="79B32E0A">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48DC90CA">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资金到位率</w:t>
            </w:r>
          </w:p>
        </w:tc>
        <w:tc>
          <w:tcPr>
            <w:tcW w:w="881" w:type="dxa"/>
            <w:tcBorders>
              <w:top w:val="nil"/>
              <w:left w:val="single" w:color="000000" w:sz="8" w:space="0"/>
              <w:bottom w:val="single" w:color="000000" w:sz="8" w:space="0"/>
              <w:right w:val="nil"/>
            </w:tcBorders>
            <w:shd w:val="clear" w:color="auto" w:fill="auto"/>
            <w:vAlign w:val="center"/>
          </w:tcPr>
          <w:p w14:paraId="68B8C2A5">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1BB7154F">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3F29FB4">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06502E61">
            <w:pPr>
              <w:widowControl/>
              <w:jc w:val="center"/>
              <w:textAlignment w:val="center"/>
              <w:rPr>
                <w:rFonts w:hint="eastAsia" w:ascii="仿宋_GB2312" w:hAnsi="Times New Roman" w:eastAsia="仿宋_GB2312" w:cs="Times New Roman"/>
                <w:sz w:val="24"/>
                <w:szCs w:val="24"/>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6DBF49D2">
            <w:pPr>
              <w:widowControl/>
              <w:jc w:val="center"/>
              <w:textAlignment w:val="center"/>
              <w:rPr>
                <w:rFonts w:hint="eastAsia" w:ascii="仿宋_GB2312" w:hAnsi="Times New Roman" w:eastAsia="仿宋_GB2312" w:cs="Times New Roman"/>
                <w:sz w:val="24"/>
                <w:szCs w:val="24"/>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663DF831">
            <w:pPr>
              <w:widowControl/>
              <w:jc w:val="center"/>
              <w:textAlignment w:val="center"/>
              <w:rPr>
                <w:rFonts w:hint="eastAsia" w:ascii="仿宋_GB2312" w:hAnsi="Times New Roman" w:eastAsia="仿宋_GB2312" w:cs="Times New Roman"/>
                <w:sz w:val="24"/>
                <w:szCs w:val="24"/>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B92B67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资金拨付及时性</w:t>
            </w:r>
          </w:p>
        </w:tc>
        <w:tc>
          <w:tcPr>
            <w:tcW w:w="881" w:type="dxa"/>
            <w:tcBorders>
              <w:top w:val="nil"/>
              <w:left w:val="single" w:color="000000" w:sz="8" w:space="0"/>
              <w:bottom w:val="single" w:color="000000" w:sz="8" w:space="0"/>
              <w:right w:val="nil"/>
            </w:tcBorders>
            <w:shd w:val="clear" w:color="auto" w:fill="auto"/>
            <w:vAlign w:val="center"/>
          </w:tcPr>
          <w:p w14:paraId="71674B8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729A4C79">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0F482A82">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1B6FB39D">
            <w:pPr>
              <w:widowControl/>
              <w:jc w:val="center"/>
              <w:textAlignment w:val="center"/>
              <w:rPr>
                <w:rFonts w:hint="eastAsia" w:ascii="仿宋_GB2312" w:hAnsi="Times New Roman" w:eastAsia="仿宋_GB2312" w:cs="Times New Roman"/>
                <w:sz w:val="24"/>
                <w:szCs w:val="24"/>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4DF11F94">
            <w:pPr>
              <w:widowControl/>
              <w:jc w:val="center"/>
              <w:textAlignment w:val="center"/>
              <w:rPr>
                <w:rFonts w:hint="eastAsia" w:ascii="仿宋_GB2312" w:hAnsi="Times New Roman" w:eastAsia="仿宋_GB2312" w:cs="Times New Roman"/>
                <w:sz w:val="24"/>
                <w:szCs w:val="24"/>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13449D2C">
            <w:pPr>
              <w:widowControl/>
              <w:jc w:val="center"/>
              <w:textAlignment w:val="center"/>
              <w:rPr>
                <w:rFonts w:hint="eastAsia" w:ascii="仿宋_GB2312" w:hAnsi="Times New Roman" w:eastAsia="仿宋_GB2312" w:cs="Times New Roman"/>
                <w:sz w:val="24"/>
                <w:szCs w:val="24"/>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5C4B1D0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预算执行率</w:t>
            </w:r>
          </w:p>
        </w:tc>
        <w:tc>
          <w:tcPr>
            <w:tcW w:w="881" w:type="dxa"/>
            <w:tcBorders>
              <w:top w:val="nil"/>
              <w:left w:val="single" w:color="000000" w:sz="8" w:space="0"/>
              <w:bottom w:val="single" w:color="000000" w:sz="8" w:space="0"/>
              <w:right w:val="nil"/>
            </w:tcBorders>
            <w:shd w:val="clear" w:color="auto" w:fill="auto"/>
            <w:vAlign w:val="center"/>
          </w:tcPr>
          <w:p w14:paraId="6AD9F8C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0CB04171">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DA038AF">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05176FC5">
            <w:pPr>
              <w:widowControl/>
              <w:jc w:val="center"/>
              <w:textAlignment w:val="center"/>
              <w:rPr>
                <w:rFonts w:hint="eastAsia" w:ascii="仿宋_GB2312" w:hAnsi="Times New Roman" w:eastAsia="仿宋_GB2312" w:cs="Times New Roman"/>
                <w:sz w:val="24"/>
                <w:szCs w:val="24"/>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6A97C2C0">
            <w:pPr>
              <w:widowControl/>
              <w:jc w:val="center"/>
              <w:textAlignment w:val="center"/>
              <w:rPr>
                <w:rFonts w:hint="eastAsia" w:ascii="仿宋_GB2312" w:hAnsi="Times New Roman" w:eastAsia="仿宋_GB2312" w:cs="Times New Roman"/>
                <w:sz w:val="24"/>
                <w:szCs w:val="24"/>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6F9EF414">
            <w:pPr>
              <w:widowControl/>
              <w:jc w:val="center"/>
              <w:textAlignment w:val="center"/>
              <w:rPr>
                <w:rFonts w:hint="eastAsia" w:ascii="仿宋_GB2312" w:hAnsi="Times New Roman" w:eastAsia="仿宋_GB2312" w:cs="Times New Roman"/>
                <w:sz w:val="24"/>
                <w:szCs w:val="24"/>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171C3623">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资金使用合规性</w:t>
            </w:r>
          </w:p>
        </w:tc>
        <w:tc>
          <w:tcPr>
            <w:tcW w:w="881" w:type="dxa"/>
            <w:tcBorders>
              <w:top w:val="nil"/>
              <w:left w:val="single" w:color="000000" w:sz="8" w:space="0"/>
              <w:bottom w:val="single" w:color="000000" w:sz="8" w:space="0"/>
              <w:right w:val="nil"/>
            </w:tcBorders>
            <w:shd w:val="clear" w:color="auto" w:fill="auto"/>
            <w:vAlign w:val="center"/>
          </w:tcPr>
          <w:p w14:paraId="7DC30874">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2B2CD66F">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52B03E46">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0CFD7197">
            <w:pPr>
              <w:widowControl/>
              <w:jc w:val="center"/>
              <w:textAlignment w:val="center"/>
              <w:rPr>
                <w:rFonts w:hint="eastAsia" w:ascii="仿宋_GB2312" w:hAnsi="Times New Roman" w:eastAsia="仿宋_GB2312" w:cs="Times New Roman"/>
                <w:sz w:val="24"/>
                <w:szCs w:val="24"/>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54ABBCDA">
            <w:pPr>
              <w:widowControl/>
              <w:jc w:val="center"/>
              <w:textAlignment w:val="center"/>
              <w:rPr>
                <w:rFonts w:hint="eastAsia" w:ascii="仿宋_GB2312" w:hAnsi="Times New Roman" w:eastAsia="仿宋_GB2312" w:cs="Times New Roman"/>
                <w:sz w:val="24"/>
                <w:szCs w:val="24"/>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59BE2B35">
            <w:pPr>
              <w:widowControl/>
              <w:jc w:val="center"/>
              <w:textAlignment w:val="center"/>
              <w:rPr>
                <w:rFonts w:hint="eastAsia" w:ascii="仿宋_GB2312" w:hAnsi="Times New Roman" w:eastAsia="仿宋_GB2312" w:cs="Times New Roman"/>
                <w:sz w:val="24"/>
                <w:szCs w:val="24"/>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434640AB">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绩效自评内容准确完整性</w:t>
            </w:r>
          </w:p>
        </w:tc>
        <w:tc>
          <w:tcPr>
            <w:tcW w:w="881" w:type="dxa"/>
            <w:tcBorders>
              <w:top w:val="nil"/>
              <w:left w:val="single" w:color="000000" w:sz="8" w:space="0"/>
              <w:bottom w:val="single" w:color="000000" w:sz="8" w:space="0"/>
              <w:right w:val="nil"/>
            </w:tcBorders>
            <w:shd w:val="clear" w:color="auto" w:fill="auto"/>
            <w:vAlign w:val="center"/>
          </w:tcPr>
          <w:p w14:paraId="4235B33B">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61954DD5">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457CDB43">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3E4BE8BE">
            <w:pPr>
              <w:widowControl/>
              <w:jc w:val="center"/>
              <w:textAlignment w:val="center"/>
              <w:rPr>
                <w:rFonts w:hint="eastAsia" w:ascii="仿宋_GB2312" w:hAnsi="Times New Roman" w:eastAsia="仿宋_GB2312" w:cs="Times New Roman"/>
                <w:sz w:val="24"/>
                <w:szCs w:val="24"/>
                <w:lang w:val="en-US" w:eastAsia="zh-CN"/>
              </w:rPr>
            </w:pPr>
          </w:p>
        </w:tc>
        <w:tc>
          <w:tcPr>
            <w:tcW w:w="1333" w:type="dxa"/>
            <w:vMerge w:val="continue"/>
            <w:tcBorders>
              <w:top w:val="nil"/>
              <w:left w:val="single" w:color="000000" w:sz="8" w:space="0"/>
              <w:bottom w:val="single" w:color="000000" w:sz="8" w:space="0"/>
              <w:right w:val="single" w:color="000000" w:sz="8" w:space="0"/>
            </w:tcBorders>
            <w:shd w:val="clear" w:color="auto" w:fill="auto"/>
            <w:vAlign w:val="center"/>
          </w:tcPr>
          <w:p w14:paraId="36F4BF70">
            <w:pPr>
              <w:widowControl/>
              <w:jc w:val="center"/>
              <w:textAlignment w:val="center"/>
              <w:rPr>
                <w:rFonts w:hint="eastAsia" w:ascii="仿宋_GB2312" w:hAnsi="Times New Roman" w:eastAsia="仿宋_GB2312" w:cs="Times New Roman"/>
                <w:sz w:val="24"/>
                <w:szCs w:val="24"/>
                <w:lang w:val="en-US" w:eastAsia="zh-CN"/>
              </w:rPr>
            </w:pPr>
          </w:p>
        </w:tc>
        <w:tc>
          <w:tcPr>
            <w:tcW w:w="827" w:type="dxa"/>
            <w:vMerge w:val="continue"/>
            <w:tcBorders>
              <w:top w:val="nil"/>
              <w:left w:val="single" w:color="000000" w:sz="8" w:space="0"/>
              <w:bottom w:val="single" w:color="000000" w:sz="8" w:space="0"/>
              <w:right w:val="single" w:color="000000" w:sz="8" w:space="0"/>
            </w:tcBorders>
            <w:shd w:val="clear" w:color="auto" w:fill="auto"/>
            <w:vAlign w:val="center"/>
          </w:tcPr>
          <w:p w14:paraId="6A464EE3">
            <w:pPr>
              <w:widowControl/>
              <w:jc w:val="center"/>
              <w:textAlignment w:val="center"/>
              <w:rPr>
                <w:rFonts w:hint="eastAsia" w:ascii="仿宋_GB2312" w:hAnsi="Times New Roman" w:eastAsia="仿宋_GB2312" w:cs="Times New Roman"/>
                <w:sz w:val="24"/>
                <w:szCs w:val="24"/>
                <w:lang w:val="en-US" w:eastAsia="zh-CN"/>
              </w:rPr>
            </w:pP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721AA5F4">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绩效自评结论真实性</w:t>
            </w:r>
          </w:p>
        </w:tc>
        <w:tc>
          <w:tcPr>
            <w:tcW w:w="881" w:type="dxa"/>
            <w:tcBorders>
              <w:top w:val="nil"/>
              <w:left w:val="single" w:color="000000" w:sz="8" w:space="0"/>
              <w:bottom w:val="single" w:color="000000" w:sz="8" w:space="0"/>
              <w:right w:val="nil"/>
            </w:tcBorders>
            <w:shd w:val="clear" w:color="auto" w:fill="auto"/>
            <w:vAlign w:val="center"/>
          </w:tcPr>
          <w:p w14:paraId="6B2A6267">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00567CB0">
        <w:tblPrEx>
          <w:tblCellMar>
            <w:top w:w="0" w:type="dxa"/>
            <w:left w:w="108" w:type="dxa"/>
            <w:bottom w:w="0" w:type="dxa"/>
            <w:right w:w="108" w:type="dxa"/>
          </w:tblCellMar>
        </w:tblPrEx>
        <w:trPr>
          <w:trHeight w:val="45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4A0293B1">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2E6F731F">
            <w:pPr>
              <w:widowControl/>
              <w:jc w:val="center"/>
              <w:textAlignment w:val="center"/>
              <w:rPr>
                <w:rFonts w:hint="eastAsia" w:ascii="仿宋_GB2312" w:hAnsi="Times New Roman" w:eastAsia="仿宋_GB2312" w:cs="Times New Roman"/>
                <w:sz w:val="24"/>
                <w:szCs w:val="24"/>
                <w:lang w:val="en-US" w:eastAsia="zh-CN"/>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65274893">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组织实施</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22ECACD6">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7B9439F3">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管理制度健全性</w:t>
            </w:r>
          </w:p>
        </w:tc>
        <w:tc>
          <w:tcPr>
            <w:tcW w:w="881" w:type="dxa"/>
            <w:tcBorders>
              <w:top w:val="nil"/>
              <w:left w:val="single" w:color="000000" w:sz="8" w:space="0"/>
              <w:bottom w:val="single" w:color="000000" w:sz="8" w:space="0"/>
              <w:right w:val="nil"/>
            </w:tcBorders>
            <w:shd w:val="clear" w:color="auto" w:fill="auto"/>
            <w:vAlign w:val="center"/>
          </w:tcPr>
          <w:p w14:paraId="6CA8439D">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092A8037">
        <w:tblPrEx>
          <w:tblCellMar>
            <w:top w:w="0" w:type="dxa"/>
            <w:left w:w="108" w:type="dxa"/>
            <w:bottom w:w="0" w:type="dxa"/>
            <w:right w:w="108" w:type="dxa"/>
          </w:tblCellMar>
        </w:tblPrEx>
        <w:trPr>
          <w:trHeight w:val="32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38139FF2">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产出</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365C2BB8">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22</w:t>
            </w: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736FABE9">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产出数量</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6FF82E82">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6</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3CA28FE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主管项目全覆盖工程数</w:t>
            </w:r>
          </w:p>
        </w:tc>
        <w:tc>
          <w:tcPr>
            <w:tcW w:w="881" w:type="dxa"/>
            <w:tcBorders>
              <w:top w:val="nil"/>
              <w:left w:val="single" w:color="000000" w:sz="8" w:space="0"/>
              <w:bottom w:val="single" w:color="000000" w:sz="8" w:space="0"/>
              <w:right w:val="nil"/>
            </w:tcBorders>
            <w:shd w:val="clear" w:color="auto" w:fill="auto"/>
            <w:vAlign w:val="center"/>
          </w:tcPr>
          <w:p w14:paraId="2AB2EF29">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6</w:t>
            </w:r>
          </w:p>
        </w:tc>
      </w:tr>
      <w:tr w14:paraId="542F83FB">
        <w:tblPrEx>
          <w:tblCellMar>
            <w:top w:w="0" w:type="dxa"/>
            <w:left w:w="108" w:type="dxa"/>
            <w:bottom w:w="0" w:type="dxa"/>
            <w:right w:w="108" w:type="dxa"/>
          </w:tblCellMar>
        </w:tblPrEx>
        <w:trPr>
          <w:trHeight w:val="9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5E3A085A">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4458347E">
            <w:pPr>
              <w:widowControl/>
              <w:jc w:val="center"/>
              <w:textAlignment w:val="center"/>
              <w:rPr>
                <w:rFonts w:hint="eastAsia" w:ascii="仿宋_GB2312" w:hAnsi="Times New Roman" w:eastAsia="仿宋_GB2312" w:cs="Times New Roman"/>
                <w:sz w:val="24"/>
                <w:szCs w:val="24"/>
                <w:lang w:val="en-US" w:eastAsia="zh-CN"/>
              </w:rPr>
            </w:pPr>
          </w:p>
        </w:tc>
        <w:tc>
          <w:tcPr>
            <w:tcW w:w="133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8125E">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产出质量</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6766F5F0">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6</w:t>
            </w:r>
          </w:p>
        </w:tc>
        <w:tc>
          <w:tcPr>
            <w:tcW w:w="3054" w:type="dxa"/>
            <w:tcBorders>
              <w:top w:val="nil"/>
              <w:left w:val="single" w:color="000000" w:sz="8" w:space="0"/>
              <w:bottom w:val="single" w:color="000000" w:sz="8" w:space="0"/>
              <w:right w:val="single" w:color="000000" w:sz="8" w:space="0"/>
            </w:tcBorders>
            <w:shd w:val="clear" w:color="auto" w:fill="auto"/>
            <w:vAlign w:val="top"/>
          </w:tcPr>
          <w:p w14:paraId="273F335B">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验收小组验收结果</w:t>
            </w:r>
          </w:p>
        </w:tc>
        <w:tc>
          <w:tcPr>
            <w:tcW w:w="881" w:type="dxa"/>
            <w:tcBorders>
              <w:top w:val="nil"/>
              <w:left w:val="single" w:color="000000" w:sz="8" w:space="0"/>
              <w:bottom w:val="single" w:color="000000" w:sz="8" w:space="0"/>
              <w:right w:val="nil"/>
            </w:tcBorders>
            <w:shd w:val="clear" w:color="auto" w:fill="auto"/>
            <w:vAlign w:val="center"/>
          </w:tcPr>
          <w:p w14:paraId="5C5B2621">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6</w:t>
            </w:r>
          </w:p>
        </w:tc>
      </w:tr>
      <w:tr w14:paraId="0C14ADC3">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6AA1F8D5">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2256D653">
            <w:pPr>
              <w:widowControl/>
              <w:jc w:val="center"/>
              <w:textAlignment w:val="center"/>
              <w:rPr>
                <w:rFonts w:hint="eastAsia" w:ascii="仿宋_GB2312" w:hAnsi="Times New Roman" w:eastAsia="仿宋_GB2312" w:cs="Times New Roman"/>
                <w:sz w:val="24"/>
                <w:szCs w:val="24"/>
                <w:lang w:val="en-US" w:eastAsia="zh-CN"/>
              </w:rPr>
            </w:pPr>
          </w:p>
        </w:tc>
        <w:tc>
          <w:tcPr>
            <w:tcW w:w="133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F2FD6">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产出时效</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518E08B3">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6</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6FEB2044">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各项任务完成及时性</w:t>
            </w:r>
          </w:p>
        </w:tc>
        <w:tc>
          <w:tcPr>
            <w:tcW w:w="881" w:type="dxa"/>
            <w:tcBorders>
              <w:top w:val="nil"/>
              <w:left w:val="single" w:color="000000" w:sz="8" w:space="0"/>
              <w:bottom w:val="single" w:color="000000" w:sz="8" w:space="0"/>
              <w:right w:val="nil"/>
            </w:tcBorders>
            <w:shd w:val="clear" w:color="auto" w:fill="auto"/>
            <w:vAlign w:val="center"/>
          </w:tcPr>
          <w:p w14:paraId="5F227293">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6</w:t>
            </w:r>
          </w:p>
        </w:tc>
      </w:tr>
      <w:tr w14:paraId="3D0507BA">
        <w:tblPrEx>
          <w:tblCellMar>
            <w:top w:w="0" w:type="dxa"/>
            <w:left w:w="108" w:type="dxa"/>
            <w:bottom w:w="0" w:type="dxa"/>
            <w:right w:w="108" w:type="dxa"/>
          </w:tblCellMar>
        </w:tblPrEx>
        <w:trPr>
          <w:trHeight w:val="9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13ED100A">
            <w:pPr>
              <w:widowControl/>
              <w:jc w:val="center"/>
              <w:textAlignment w:val="center"/>
              <w:rPr>
                <w:rFonts w:hint="eastAsia" w:ascii="仿宋_GB2312" w:hAnsi="Times New Roman" w:eastAsia="仿宋_GB2312" w:cs="Times New Roman"/>
                <w:sz w:val="24"/>
                <w:szCs w:val="24"/>
                <w:lang w:val="en-US" w:eastAsia="zh-CN"/>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39D5616E">
            <w:pPr>
              <w:widowControl/>
              <w:jc w:val="center"/>
              <w:textAlignment w:val="center"/>
              <w:rPr>
                <w:rFonts w:hint="eastAsia" w:ascii="仿宋_GB2312" w:hAnsi="Times New Roman" w:eastAsia="仿宋_GB2312" w:cs="Times New Roman"/>
                <w:sz w:val="24"/>
                <w:szCs w:val="24"/>
                <w:lang w:val="en-US" w:eastAsia="zh-CN"/>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2DB76F3C">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产出成本</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32E5E4D7">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22A4E2B4">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预算控制率</w:t>
            </w:r>
          </w:p>
        </w:tc>
        <w:tc>
          <w:tcPr>
            <w:tcW w:w="881" w:type="dxa"/>
            <w:tcBorders>
              <w:top w:val="nil"/>
              <w:left w:val="single" w:color="000000" w:sz="8" w:space="0"/>
              <w:bottom w:val="single" w:color="000000" w:sz="8" w:space="0"/>
              <w:right w:val="nil"/>
            </w:tcBorders>
            <w:shd w:val="clear" w:color="auto" w:fill="auto"/>
            <w:vAlign w:val="center"/>
          </w:tcPr>
          <w:p w14:paraId="2CB0585D">
            <w:pPr>
              <w:widowControl/>
              <w:jc w:val="center"/>
              <w:textAlignment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148DE847">
        <w:tblPrEx>
          <w:tblCellMar>
            <w:top w:w="0" w:type="dxa"/>
            <w:left w:w="108" w:type="dxa"/>
            <w:bottom w:w="0" w:type="dxa"/>
            <w:right w:w="108" w:type="dxa"/>
          </w:tblCellMar>
        </w:tblPrEx>
        <w:trPr>
          <w:trHeight w:val="460" w:hRule="atLeast"/>
        </w:trPr>
        <w:tc>
          <w:tcPr>
            <w:tcW w:w="1205" w:type="dxa"/>
            <w:vMerge w:val="restart"/>
            <w:tcBorders>
              <w:top w:val="nil"/>
              <w:left w:val="nil"/>
              <w:bottom w:val="single" w:color="000000" w:sz="8" w:space="0"/>
              <w:right w:val="single" w:color="000000" w:sz="8" w:space="0"/>
            </w:tcBorders>
            <w:shd w:val="clear" w:color="auto" w:fill="auto"/>
            <w:vAlign w:val="center"/>
          </w:tcPr>
          <w:p w14:paraId="167C5029">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效益</w:t>
            </w:r>
          </w:p>
        </w:tc>
        <w:tc>
          <w:tcPr>
            <w:tcW w:w="955" w:type="dxa"/>
            <w:vMerge w:val="restart"/>
            <w:tcBorders>
              <w:top w:val="nil"/>
              <w:left w:val="single" w:color="000000" w:sz="8" w:space="0"/>
              <w:bottom w:val="single" w:color="000000" w:sz="8" w:space="0"/>
              <w:right w:val="single" w:color="000000" w:sz="8" w:space="0"/>
            </w:tcBorders>
            <w:shd w:val="clear" w:color="auto" w:fill="auto"/>
            <w:vAlign w:val="center"/>
          </w:tcPr>
          <w:p w14:paraId="2AF86D7F">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20</w:t>
            </w: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035FDF7E">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经济效益</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02A0228B">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3AB5CFD9">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提高城市功能，支撑县域经济发展</w:t>
            </w:r>
          </w:p>
        </w:tc>
        <w:tc>
          <w:tcPr>
            <w:tcW w:w="881" w:type="dxa"/>
            <w:tcBorders>
              <w:top w:val="nil"/>
              <w:left w:val="single" w:color="000000" w:sz="8" w:space="0"/>
              <w:bottom w:val="single" w:color="000000" w:sz="8" w:space="0"/>
              <w:right w:val="nil"/>
            </w:tcBorders>
            <w:shd w:val="clear" w:color="auto" w:fill="auto"/>
            <w:vAlign w:val="center"/>
          </w:tcPr>
          <w:p w14:paraId="00B7B032">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357F5226">
        <w:tblPrEx>
          <w:tblCellMar>
            <w:top w:w="0" w:type="dxa"/>
            <w:left w:w="108" w:type="dxa"/>
            <w:bottom w:w="0" w:type="dxa"/>
            <w:right w:w="108" w:type="dxa"/>
          </w:tblCellMar>
        </w:tblPrEx>
        <w:trPr>
          <w:trHeight w:val="46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36DC239C">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525F00BE">
            <w:pPr>
              <w:jc w:val="center"/>
              <w:rPr>
                <w:rFonts w:hint="eastAsia" w:ascii="仿宋" w:hAnsi="仿宋" w:eastAsia="仿宋" w:cs="仿宋"/>
                <w:color w:val="000000"/>
                <w:sz w:val="24"/>
                <w:szCs w:val="24"/>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09D07C98">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社会效益</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157BBACB">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103D1E93">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营造美好、整洁、积极向上的城市氛围</w:t>
            </w:r>
          </w:p>
        </w:tc>
        <w:tc>
          <w:tcPr>
            <w:tcW w:w="881" w:type="dxa"/>
            <w:tcBorders>
              <w:top w:val="nil"/>
              <w:left w:val="single" w:color="000000" w:sz="8" w:space="0"/>
              <w:bottom w:val="single" w:color="000000" w:sz="8" w:space="0"/>
              <w:right w:val="nil"/>
            </w:tcBorders>
            <w:shd w:val="clear" w:color="auto" w:fill="auto"/>
            <w:vAlign w:val="center"/>
          </w:tcPr>
          <w:p w14:paraId="4CDA70A7">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35D30C6C">
        <w:tblPrEx>
          <w:tblCellMar>
            <w:top w:w="0" w:type="dxa"/>
            <w:left w:w="108" w:type="dxa"/>
            <w:bottom w:w="0" w:type="dxa"/>
            <w:right w:w="108" w:type="dxa"/>
          </w:tblCellMar>
        </w:tblPrEx>
        <w:trPr>
          <w:trHeight w:val="80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06C0BDE">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4A6D5FFC">
            <w:pPr>
              <w:jc w:val="center"/>
              <w:rPr>
                <w:rFonts w:hint="eastAsia" w:ascii="仿宋" w:hAnsi="仿宋" w:eastAsia="仿宋" w:cs="仿宋"/>
                <w:color w:val="000000"/>
                <w:sz w:val="24"/>
                <w:szCs w:val="24"/>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2115ACAD">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可持续影响</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4924C846">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0F1C1FF1">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推进饮用水安全工程常态化</w:t>
            </w:r>
          </w:p>
        </w:tc>
        <w:tc>
          <w:tcPr>
            <w:tcW w:w="881" w:type="dxa"/>
            <w:tcBorders>
              <w:top w:val="nil"/>
              <w:left w:val="single" w:color="000000" w:sz="8" w:space="0"/>
              <w:bottom w:val="single" w:color="000000" w:sz="8" w:space="0"/>
              <w:right w:val="nil"/>
            </w:tcBorders>
            <w:shd w:val="clear" w:color="auto" w:fill="auto"/>
            <w:vAlign w:val="center"/>
          </w:tcPr>
          <w:p w14:paraId="15ABA63E">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30343CC4">
        <w:tblPrEx>
          <w:tblCellMar>
            <w:top w:w="0" w:type="dxa"/>
            <w:left w:w="108" w:type="dxa"/>
            <w:bottom w:w="0" w:type="dxa"/>
            <w:right w:w="108" w:type="dxa"/>
          </w:tblCellMar>
        </w:tblPrEx>
        <w:trPr>
          <w:trHeight w:val="270" w:hRule="atLeast"/>
        </w:trPr>
        <w:tc>
          <w:tcPr>
            <w:tcW w:w="1205" w:type="dxa"/>
            <w:vMerge w:val="continue"/>
            <w:tcBorders>
              <w:top w:val="nil"/>
              <w:left w:val="nil"/>
              <w:bottom w:val="single" w:color="000000" w:sz="8" w:space="0"/>
              <w:right w:val="single" w:color="000000" w:sz="8" w:space="0"/>
            </w:tcBorders>
            <w:shd w:val="clear" w:color="auto" w:fill="auto"/>
            <w:vAlign w:val="center"/>
          </w:tcPr>
          <w:p w14:paraId="298C064A">
            <w:pPr>
              <w:jc w:val="center"/>
              <w:rPr>
                <w:rFonts w:hint="eastAsia" w:ascii="仿宋" w:hAnsi="仿宋" w:eastAsia="仿宋" w:cs="仿宋"/>
                <w:color w:val="000000"/>
                <w:sz w:val="24"/>
                <w:szCs w:val="24"/>
              </w:rPr>
            </w:pPr>
          </w:p>
        </w:tc>
        <w:tc>
          <w:tcPr>
            <w:tcW w:w="955" w:type="dxa"/>
            <w:vMerge w:val="continue"/>
            <w:tcBorders>
              <w:top w:val="nil"/>
              <w:left w:val="single" w:color="000000" w:sz="8" w:space="0"/>
              <w:bottom w:val="single" w:color="000000" w:sz="8" w:space="0"/>
              <w:right w:val="single" w:color="000000" w:sz="8" w:space="0"/>
            </w:tcBorders>
            <w:shd w:val="clear" w:color="auto" w:fill="auto"/>
            <w:vAlign w:val="center"/>
          </w:tcPr>
          <w:p w14:paraId="47875DB4">
            <w:pPr>
              <w:jc w:val="center"/>
              <w:rPr>
                <w:rFonts w:hint="eastAsia" w:ascii="仿宋" w:hAnsi="仿宋" w:eastAsia="仿宋" w:cs="仿宋"/>
                <w:color w:val="000000"/>
                <w:sz w:val="24"/>
                <w:szCs w:val="24"/>
              </w:rPr>
            </w:pPr>
          </w:p>
        </w:tc>
        <w:tc>
          <w:tcPr>
            <w:tcW w:w="1333" w:type="dxa"/>
            <w:tcBorders>
              <w:top w:val="nil"/>
              <w:left w:val="single" w:color="000000" w:sz="8" w:space="0"/>
              <w:bottom w:val="single" w:color="000000" w:sz="8" w:space="0"/>
              <w:right w:val="single" w:color="000000" w:sz="8" w:space="0"/>
            </w:tcBorders>
            <w:shd w:val="clear" w:color="auto" w:fill="auto"/>
            <w:vAlign w:val="center"/>
          </w:tcPr>
          <w:p w14:paraId="34697ED7">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满意度</w:t>
            </w:r>
          </w:p>
        </w:tc>
        <w:tc>
          <w:tcPr>
            <w:tcW w:w="827" w:type="dxa"/>
            <w:tcBorders>
              <w:top w:val="nil"/>
              <w:left w:val="single" w:color="000000" w:sz="8" w:space="0"/>
              <w:bottom w:val="single" w:color="000000" w:sz="8" w:space="0"/>
              <w:right w:val="single" w:color="000000" w:sz="8" w:space="0"/>
            </w:tcBorders>
            <w:shd w:val="clear" w:color="auto" w:fill="auto"/>
            <w:vAlign w:val="center"/>
          </w:tcPr>
          <w:p w14:paraId="0DC49B59">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c>
          <w:tcPr>
            <w:tcW w:w="3054" w:type="dxa"/>
            <w:tcBorders>
              <w:top w:val="nil"/>
              <w:left w:val="single" w:color="000000" w:sz="8" w:space="0"/>
              <w:bottom w:val="single" w:color="000000" w:sz="8" w:space="0"/>
              <w:right w:val="single" w:color="000000" w:sz="8" w:space="0"/>
            </w:tcBorders>
            <w:shd w:val="clear" w:color="auto" w:fill="auto"/>
            <w:vAlign w:val="center"/>
          </w:tcPr>
          <w:p w14:paraId="478D97BB">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群众满意度</w:t>
            </w:r>
          </w:p>
        </w:tc>
        <w:tc>
          <w:tcPr>
            <w:tcW w:w="881" w:type="dxa"/>
            <w:tcBorders>
              <w:top w:val="nil"/>
              <w:left w:val="single" w:color="000000" w:sz="8" w:space="0"/>
              <w:bottom w:val="single" w:color="000000" w:sz="8" w:space="0"/>
              <w:right w:val="nil"/>
            </w:tcBorders>
            <w:shd w:val="clear" w:color="auto" w:fill="auto"/>
            <w:vAlign w:val="center"/>
          </w:tcPr>
          <w:p w14:paraId="529A65EC">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5</w:t>
            </w:r>
          </w:p>
        </w:tc>
      </w:tr>
      <w:tr w14:paraId="29952CFA">
        <w:tblPrEx>
          <w:tblCellMar>
            <w:top w:w="0" w:type="dxa"/>
            <w:left w:w="108" w:type="dxa"/>
            <w:bottom w:w="0" w:type="dxa"/>
            <w:right w:w="108" w:type="dxa"/>
          </w:tblCellMar>
        </w:tblPrEx>
        <w:trPr>
          <w:trHeight w:val="270" w:hRule="atLeast"/>
        </w:trPr>
        <w:tc>
          <w:tcPr>
            <w:tcW w:w="1205" w:type="dxa"/>
            <w:tcBorders>
              <w:top w:val="nil"/>
              <w:left w:val="nil"/>
              <w:bottom w:val="double" w:color="000000" w:sz="4" w:space="0"/>
              <w:right w:val="single" w:color="000000" w:sz="8" w:space="0"/>
            </w:tcBorders>
            <w:shd w:val="clear" w:color="auto" w:fill="auto"/>
            <w:vAlign w:val="center"/>
          </w:tcPr>
          <w:p w14:paraId="3C74E3E6">
            <w:pPr>
              <w:widowControl/>
              <w:jc w:val="center"/>
              <w:textAlignment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合计</w:t>
            </w:r>
          </w:p>
        </w:tc>
        <w:tc>
          <w:tcPr>
            <w:tcW w:w="955" w:type="dxa"/>
            <w:tcBorders>
              <w:top w:val="nil"/>
              <w:left w:val="single" w:color="000000" w:sz="8" w:space="0"/>
              <w:bottom w:val="double" w:color="000000" w:sz="4" w:space="0"/>
              <w:right w:val="single" w:color="000000" w:sz="8" w:space="0"/>
            </w:tcBorders>
            <w:shd w:val="clear" w:color="auto" w:fill="auto"/>
            <w:vAlign w:val="center"/>
          </w:tcPr>
          <w:p w14:paraId="69E0C997">
            <w:pPr>
              <w:widowControl/>
              <w:jc w:val="center"/>
              <w:textAlignment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100</w:t>
            </w:r>
          </w:p>
        </w:tc>
        <w:tc>
          <w:tcPr>
            <w:tcW w:w="1333" w:type="dxa"/>
            <w:tcBorders>
              <w:top w:val="nil"/>
              <w:left w:val="single" w:color="000000" w:sz="8" w:space="0"/>
              <w:bottom w:val="double" w:color="000000" w:sz="4" w:space="0"/>
              <w:right w:val="single" w:color="000000" w:sz="8" w:space="0"/>
            </w:tcBorders>
            <w:shd w:val="clear" w:color="auto" w:fill="auto"/>
            <w:vAlign w:val="center"/>
          </w:tcPr>
          <w:p w14:paraId="3241452F">
            <w:pPr>
              <w:widowControl/>
              <w:jc w:val="center"/>
              <w:textAlignment w:val="center"/>
              <w:rPr>
                <w:rFonts w:hint="eastAsia" w:ascii="仿宋_GB2312" w:hAnsi="Times New Roman" w:eastAsia="仿宋_GB2312" w:cs="Times New Roman"/>
                <w:sz w:val="24"/>
                <w:szCs w:val="24"/>
              </w:rPr>
            </w:pPr>
          </w:p>
        </w:tc>
        <w:tc>
          <w:tcPr>
            <w:tcW w:w="827" w:type="dxa"/>
            <w:tcBorders>
              <w:top w:val="nil"/>
              <w:left w:val="single" w:color="000000" w:sz="8" w:space="0"/>
              <w:bottom w:val="double" w:color="000000" w:sz="4" w:space="0"/>
              <w:right w:val="single" w:color="000000" w:sz="8" w:space="0"/>
            </w:tcBorders>
            <w:shd w:val="clear" w:color="auto" w:fill="auto"/>
            <w:vAlign w:val="center"/>
          </w:tcPr>
          <w:p w14:paraId="1D5E8C4C">
            <w:pPr>
              <w:widowControl/>
              <w:jc w:val="center"/>
              <w:textAlignment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100</w:t>
            </w:r>
          </w:p>
        </w:tc>
        <w:tc>
          <w:tcPr>
            <w:tcW w:w="3054" w:type="dxa"/>
            <w:tcBorders>
              <w:top w:val="nil"/>
              <w:left w:val="single" w:color="000000" w:sz="8" w:space="0"/>
              <w:bottom w:val="double" w:color="000000" w:sz="4" w:space="0"/>
              <w:right w:val="single" w:color="000000" w:sz="8" w:space="0"/>
            </w:tcBorders>
            <w:shd w:val="clear" w:color="auto" w:fill="auto"/>
            <w:vAlign w:val="center"/>
          </w:tcPr>
          <w:p w14:paraId="12A8BBB6">
            <w:pPr>
              <w:jc w:val="center"/>
              <w:rPr>
                <w:rFonts w:ascii="Times New Roman" w:hAnsi="Times New Roman" w:eastAsia="宋体" w:cs="Times New Roman"/>
                <w:b/>
                <w:bCs/>
                <w:color w:val="000000"/>
                <w:sz w:val="16"/>
                <w:szCs w:val="16"/>
              </w:rPr>
            </w:pPr>
          </w:p>
        </w:tc>
        <w:tc>
          <w:tcPr>
            <w:tcW w:w="881" w:type="dxa"/>
            <w:tcBorders>
              <w:top w:val="nil"/>
              <w:left w:val="single" w:color="000000" w:sz="8" w:space="0"/>
              <w:bottom w:val="double" w:color="000000" w:sz="4" w:space="0"/>
              <w:right w:val="nil"/>
            </w:tcBorders>
            <w:shd w:val="clear" w:color="auto" w:fill="auto"/>
            <w:vAlign w:val="center"/>
          </w:tcPr>
          <w:p w14:paraId="31E8D806">
            <w:pPr>
              <w:widowControl/>
              <w:jc w:val="center"/>
              <w:textAlignment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100</w:t>
            </w:r>
          </w:p>
        </w:tc>
      </w:tr>
    </w:tbl>
    <w:p w14:paraId="76CEE12E">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3、评价方法</w:t>
      </w:r>
    </w:p>
    <w:p w14:paraId="7BE4040E">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本次绩效评价主要采用比较法、因素分析法等。</w:t>
      </w:r>
    </w:p>
    <w:p w14:paraId="3B16CE38">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比较法：通过对绩效目标与实施效果比较，指标制定上定量与定性相结合，优先定量，综合分析绩效目标实现程度。</w:t>
      </w:r>
    </w:p>
    <w:p w14:paraId="6D1AC2D9">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因素分析法：通过综合分析影响绩效目标实现、实施效果的内外因素，评价绩效目标实现程度。</w:t>
      </w:r>
    </w:p>
    <w:p w14:paraId="019D9E30">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公众评判法通过专家评估、公众问卷及抽样调査等对专项资金效果、服务对象满意度、环境效益及可持续性等方面进行评判，评价绩效目标实现程度。</w:t>
      </w:r>
    </w:p>
    <w:p w14:paraId="54C97703">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4、评价标准</w:t>
      </w:r>
    </w:p>
    <w:p w14:paraId="37C1E30D">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本次绩效评价采用计划标准。</w:t>
      </w:r>
    </w:p>
    <w:p w14:paraId="42E38385">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5、评价等级</w:t>
      </w:r>
    </w:p>
    <w:p w14:paraId="3376804C">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绩效评价结果采取评分和评级相结合的方式，本项目具体分值和等级的设定：总分设置为100分，等级划分为四档： 90(含）-100 分为优、80 (含）- 90分为良、 60(含）-80分为中、 60分以下为差。</w:t>
      </w:r>
    </w:p>
    <w:p w14:paraId="4DAE5CBF">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（三）绩效评价工作过程</w:t>
      </w:r>
    </w:p>
    <w:p w14:paraId="5831808B">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1.了解项目概况</w:t>
      </w:r>
    </w:p>
    <w:p w14:paraId="5BFCBB0D">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评价工作组与项目实施单位及相关人员初步沟通项目背景、预算申请及批复、绩效目标、目前的开展进度。</w:t>
      </w:r>
    </w:p>
    <w:p w14:paraId="23A7E6A3">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2.制定评价实施方案</w:t>
      </w:r>
    </w:p>
    <w:p w14:paraId="22862254">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评价小组从目标要求、工作内容、方式方法、时间进度及工作步骤等方面做出具体明确的计划，为绩效评价工作的组织实施提供指引。</w:t>
      </w:r>
    </w:p>
    <w:p w14:paraId="2BC8C54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3.基础数据采集，设定绩效评价指标体系</w:t>
      </w:r>
    </w:p>
    <w:p w14:paraId="4942368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查阅项目申报书及申报年度预算的相关资料、项目相关文件、财务凭证附件、项目执行情况报告、项目年度工作总结等资料，询问项目实施跟进的相关人员，查看项目工作台账、支出财务明细账、项目资金到位凭证、项目预算调整文件、相关管理制度等。结合项目具体情况，设计绩效评价指标体系，征求被评价单位意见，确定项目绩效评价指标体系。</w:t>
      </w:r>
    </w:p>
    <w:p w14:paraId="130C01A0">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4.资料数据分析</w:t>
      </w:r>
    </w:p>
    <w:p w14:paraId="6FE741A2">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价工作组成员将收集到的资料进行分类汇总，对照工作方案和绩效评价指标体系，核实资料的准确性、完整性以及相关性，并在现场与相关项目责任人进行充分沟通、查阅文件、形成工作底稿，并结合绩效评价体系中对应指标进行初步评分。</w:t>
      </w:r>
    </w:p>
    <w:p w14:paraId="79D590E0">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5.数据汇总撰写报告</w:t>
      </w:r>
    </w:p>
    <w:p w14:paraId="45BDAFAD">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根据绩效评价的原理和规范，对采集的数据进行处理、分析和评分，并得出评价结论撰写报告。</w:t>
      </w:r>
    </w:p>
    <w:p w14:paraId="34915BF0">
      <w:pPr>
        <w:spacing w:line="560" w:lineRule="exact"/>
        <w:ind w:firstLine="640" w:firstLineChars="200"/>
        <w:outlineLvl w:val="0"/>
        <w:rPr>
          <w:rFonts w:ascii="黑体" w:hAnsi="黑体" w:eastAsia="黑体" w:cs="Times New Roman"/>
          <w:b w:val="0"/>
          <w:bCs w:val="0"/>
          <w:sz w:val="32"/>
          <w:szCs w:val="32"/>
        </w:rPr>
      </w:pPr>
      <w:r>
        <w:rPr>
          <w:rFonts w:hint="eastAsia" w:ascii="黑体" w:hAnsi="黑体" w:eastAsia="黑体" w:cs="Times New Roman"/>
          <w:b w:val="0"/>
          <w:bCs w:val="0"/>
          <w:sz w:val="32"/>
          <w:szCs w:val="32"/>
        </w:rPr>
        <w:t>三、综合评价情况及评价结论</w:t>
      </w:r>
    </w:p>
    <w:p w14:paraId="4E961ABF">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（一）综合评价情况</w:t>
      </w:r>
    </w:p>
    <w:p w14:paraId="63732F71">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项目组通过对项目决策、过程、产出、效益进行评价，认为</w:t>
      </w:r>
      <w:r>
        <w:rPr>
          <w:rFonts w:hint="eastAsia" w:ascii="仿宋_GB2312" w:hAnsi="Times New Roman" w:eastAsia="仿宋_GB2312" w:cs="Times New Roman"/>
          <w:sz w:val="24"/>
          <w:szCs w:val="24"/>
          <w:lang w:val="en-US" w:eastAsia="zh-CN"/>
        </w:rPr>
        <w:t>2023年度县管堤防及涵闸运管经费</w:t>
      </w:r>
      <w:r>
        <w:rPr>
          <w:rFonts w:hint="eastAsia" w:ascii="仿宋_GB2312" w:eastAsia="仿宋_GB2312" w:cs="Times New Roman"/>
          <w:sz w:val="24"/>
          <w:szCs w:val="24"/>
          <w:lang w:val="en-US" w:eastAsia="zh-CN"/>
        </w:rPr>
        <w:t>项目支出</w:t>
      </w:r>
      <w:r>
        <w:rPr>
          <w:rFonts w:hint="eastAsia" w:ascii="仿宋_GB2312" w:hAnsi="Times New Roman" w:eastAsia="仿宋_GB2312" w:cs="Times New Roman"/>
          <w:sz w:val="24"/>
          <w:szCs w:val="24"/>
        </w:rPr>
        <w:t>立项依据充分，立项程序规范，绩效目标设置合理，资金到位及时、使用合规，管理制度健全，基本得到有效执行，项目产出完成情况良好，取得了较好的社会、经济和生态效益，服务对象满意度高。</w:t>
      </w:r>
    </w:p>
    <w:p w14:paraId="19026E41">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（二）评价结论</w:t>
      </w:r>
    </w:p>
    <w:tbl>
      <w:tblPr>
        <w:tblStyle w:val="8"/>
        <w:tblpPr w:leftFromText="180" w:rightFromText="180" w:vertAnchor="text" w:horzAnchor="page" w:tblpX="2022" w:tblpY="1089"/>
        <w:tblOverlap w:val="never"/>
        <w:tblW w:w="8520" w:type="dxa"/>
        <w:tblInd w:w="0" w:type="dxa"/>
        <w:tblLayout w:type="autofit"/>
        <w:tblCellMar>
          <w:top w:w="0" w:type="dxa"/>
          <w:left w:w="0" w:type="dxa"/>
          <w:bottom w:w="0" w:type="dxa"/>
          <w:right w:w="0" w:type="dxa"/>
        </w:tblCellMar>
      </w:tblPr>
      <w:tblGrid>
        <w:gridCol w:w="1385"/>
        <w:gridCol w:w="1282"/>
        <w:gridCol w:w="1543"/>
        <w:gridCol w:w="1626"/>
        <w:gridCol w:w="1220"/>
        <w:gridCol w:w="1464"/>
      </w:tblGrid>
      <w:tr w14:paraId="4219018A">
        <w:tblPrEx>
          <w:tblCellMar>
            <w:top w:w="0" w:type="dxa"/>
            <w:left w:w="0" w:type="dxa"/>
            <w:bottom w:w="0" w:type="dxa"/>
            <w:right w:w="0" w:type="dxa"/>
          </w:tblCellMar>
        </w:tblPrEx>
        <w:trPr>
          <w:trHeight w:val="560" w:hRule="atLeast"/>
        </w:trPr>
        <w:tc>
          <w:tcPr>
            <w:tcW w:w="138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667E2092">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rPr>
              <w:t>评价指标</w:t>
            </w:r>
          </w:p>
        </w:tc>
        <w:tc>
          <w:tcPr>
            <w:tcW w:w="128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2A3448E2">
            <w:pPr>
              <w:widowControl/>
              <w:spacing w:line="56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权重</w:t>
            </w:r>
          </w:p>
        </w:tc>
        <w:tc>
          <w:tcPr>
            <w:tcW w:w="154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020F68BC">
            <w:pPr>
              <w:widowControl/>
              <w:spacing w:line="56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评级分值</w:t>
            </w:r>
          </w:p>
        </w:tc>
        <w:tc>
          <w:tcPr>
            <w:tcW w:w="1626"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094BF01A">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本项目得分</w:t>
            </w:r>
          </w:p>
        </w:tc>
        <w:tc>
          <w:tcPr>
            <w:tcW w:w="122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3032F9D8">
            <w:pPr>
              <w:widowControl/>
              <w:spacing w:line="56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得分率</w:t>
            </w:r>
          </w:p>
        </w:tc>
        <w:tc>
          <w:tcPr>
            <w:tcW w:w="146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top"/>
          </w:tcPr>
          <w:p w14:paraId="59609461">
            <w:pPr>
              <w:widowControl/>
              <w:spacing w:line="56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绩效评价</w:t>
            </w:r>
          </w:p>
        </w:tc>
      </w:tr>
      <w:tr w14:paraId="627F64B7">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6D13757">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决策</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299A79F">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30%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112F6BF">
            <w:pPr>
              <w:widowControl/>
              <w:spacing w:line="560" w:lineRule="atLeast"/>
              <w:ind w:firstLine="480" w:firstLineChars="200"/>
              <w:jc w:val="both"/>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30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F3EB649">
            <w:pPr>
              <w:widowControl/>
              <w:spacing w:line="56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22</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D96D96A">
            <w:pPr>
              <w:widowControl/>
              <w:spacing w:line="56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73.3%</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C7498DE">
            <w:pPr>
              <w:widowControl/>
              <w:spacing w:line="56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合规可行</w:t>
            </w:r>
          </w:p>
        </w:tc>
      </w:tr>
      <w:tr w14:paraId="2DA83CA2">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4CD2BD6">
            <w:pPr>
              <w:widowControl/>
              <w:spacing w:line="9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过程</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154079E">
            <w:pPr>
              <w:widowControl/>
              <w:spacing w:line="9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28%</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E689113">
            <w:pPr>
              <w:widowControl/>
              <w:spacing w:line="90" w:lineRule="atLeast"/>
              <w:jc w:val="center"/>
              <w:rPr>
                <w:rFonts w:hint="eastAsia"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28</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C5C8080">
            <w:pPr>
              <w:widowControl/>
              <w:spacing w:line="9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21</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1848D03">
            <w:pPr>
              <w:widowControl/>
              <w:spacing w:line="560" w:lineRule="atLeast"/>
              <w:ind w:firstLine="240" w:firstLineChars="100"/>
              <w:jc w:val="both"/>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75%</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234F5DB">
            <w:pPr>
              <w:widowControl/>
              <w:spacing w:line="56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管理一般</w:t>
            </w:r>
          </w:p>
        </w:tc>
      </w:tr>
      <w:tr w14:paraId="63358C5C">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5D4D8FBA">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产出</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2253C50">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22%</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C640D99">
            <w:pPr>
              <w:widowControl/>
              <w:spacing w:line="560" w:lineRule="atLeast"/>
              <w:jc w:val="center"/>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22</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2C8B19C">
            <w:pPr>
              <w:widowControl/>
              <w:spacing w:line="56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16</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A10E1E3">
            <w:pPr>
              <w:widowControl/>
              <w:spacing w:line="56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72.7%</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2550CEF">
            <w:pPr>
              <w:widowControl/>
              <w:spacing w:line="56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产出一般</w:t>
            </w:r>
          </w:p>
        </w:tc>
      </w:tr>
      <w:tr w14:paraId="0BAA0E94">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604018F9">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效益</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D7D43CE">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20%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66A2049">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20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8DE3464">
            <w:pPr>
              <w:widowControl/>
              <w:spacing w:line="56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16</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C87F943">
            <w:pPr>
              <w:widowControl/>
              <w:spacing w:line="56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80%</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B0FEAE3">
            <w:pPr>
              <w:widowControl/>
              <w:spacing w:line="56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效果好</w:t>
            </w:r>
          </w:p>
        </w:tc>
      </w:tr>
      <w:tr w14:paraId="47A557BB">
        <w:tblPrEx>
          <w:tblCellMar>
            <w:top w:w="0" w:type="dxa"/>
            <w:left w:w="0" w:type="dxa"/>
            <w:bottom w:w="0" w:type="dxa"/>
            <w:right w:w="0" w:type="dxa"/>
          </w:tblCellMar>
        </w:tblPrEx>
        <w:trPr>
          <w:trHeight w:val="560" w:hRule="atLeast"/>
        </w:trPr>
        <w:tc>
          <w:tcPr>
            <w:tcW w:w="13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61C24B3D">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合计</w:t>
            </w:r>
          </w:p>
        </w:tc>
        <w:tc>
          <w:tcPr>
            <w:tcW w:w="12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C53E005">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100%</w:t>
            </w:r>
          </w:p>
        </w:tc>
        <w:tc>
          <w:tcPr>
            <w:tcW w:w="154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5B08554">
            <w:pPr>
              <w:widowControl/>
              <w:spacing w:line="56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100</w:t>
            </w:r>
          </w:p>
        </w:tc>
        <w:tc>
          <w:tcPr>
            <w:tcW w:w="162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1797C31">
            <w:pPr>
              <w:widowControl/>
              <w:spacing w:line="56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75</w:t>
            </w:r>
          </w:p>
        </w:tc>
        <w:tc>
          <w:tcPr>
            <w:tcW w:w="122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E8C299E">
            <w:pPr>
              <w:widowControl/>
              <w:spacing w:line="56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75%</w:t>
            </w:r>
          </w:p>
        </w:tc>
        <w:tc>
          <w:tcPr>
            <w:tcW w:w="146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61E3E1A">
            <w:pPr>
              <w:widowControl/>
              <w:spacing w:line="56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中</w:t>
            </w:r>
          </w:p>
        </w:tc>
      </w:tr>
    </w:tbl>
    <w:p w14:paraId="3E6C6514">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根据评价指标体系对本项目的绩效进行评价，本项目综合评价得分</w:t>
      </w:r>
      <w:r>
        <w:rPr>
          <w:rFonts w:hint="eastAsia" w:ascii="仿宋_GB2312" w:eastAsia="仿宋_GB2312" w:cs="Times New Roman"/>
          <w:sz w:val="24"/>
          <w:szCs w:val="24"/>
          <w:lang w:val="en-US" w:eastAsia="zh-CN"/>
        </w:rPr>
        <w:t>75</w:t>
      </w:r>
      <w:r>
        <w:rPr>
          <w:rFonts w:hint="eastAsia" w:ascii="仿宋_GB2312" w:hAnsi="Times New Roman" w:eastAsia="仿宋_GB2312" w:cs="Times New Roman"/>
          <w:sz w:val="24"/>
          <w:szCs w:val="24"/>
        </w:rPr>
        <w:t>分，</w:t>
      </w:r>
      <w:r>
        <w:rPr>
          <w:rFonts w:hint="eastAsia" w:ascii="仿宋_GB2312" w:hAnsi="Times New Roman" w:eastAsia="仿宋_GB2312" w:cs="Times New Roman"/>
          <w:sz w:val="24"/>
          <w:szCs w:val="24"/>
          <w:lang w:val="en-US" w:eastAsia="zh-CN"/>
        </w:rPr>
        <w:t>评价等级为“</w:t>
      </w:r>
      <w:r>
        <w:rPr>
          <w:rFonts w:hint="eastAsia" w:ascii="仿宋_GB2312" w:eastAsia="仿宋_GB2312" w:cs="Times New Roman"/>
          <w:sz w:val="24"/>
          <w:szCs w:val="24"/>
          <w:lang w:val="en-US" w:eastAsia="zh-CN"/>
        </w:rPr>
        <w:t>中</w:t>
      </w:r>
      <w:r>
        <w:rPr>
          <w:rFonts w:hint="eastAsia" w:ascii="仿宋_GB2312" w:hAnsi="Times New Roman" w:eastAsia="仿宋_GB2312" w:cs="Times New Roman"/>
          <w:sz w:val="24"/>
          <w:szCs w:val="24"/>
          <w:lang w:val="en-US" w:eastAsia="zh-CN"/>
        </w:rPr>
        <w:t>”。</w:t>
      </w:r>
    </w:p>
    <w:p w14:paraId="75693700">
      <w:pPr>
        <w:spacing w:line="560" w:lineRule="exact"/>
        <w:ind w:firstLine="640" w:firstLineChars="200"/>
        <w:outlineLvl w:val="0"/>
        <w:rPr>
          <w:rFonts w:ascii="黑体" w:hAnsi="黑体" w:eastAsia="黑体" w:cs="Times New Roman"/>
          <w:b w:val="0"/>
          <w:bCs w:val="0"/>
          <w:sz w:val="32"/>
          <w:szCs w:val="32"/>
        </w:rPr>
      </w:pPr>
      <w:r>
        <w:rPr>
          <w:rFonts w:hint="eastAsia" w:ascii="黑体" w:hAnsi="黑体" w:eastAsia="黑体" w:cs="Times New Roman"/>
          <w:b w:val="0"/>
          <w:bCs w:val="0"/>
          <w:sz w:val="32"/>
          <w:szCs w:val="32"/>
        </w:rPr>
        <w:t>四、绩效评价指标分析</w:t>
      </w:r>
    </w:p>
    <w:p w14:paraId="11662CE0">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（一）项目决策情况</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满分30分，实得2</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lang w:val="en-US" w:eastAsia="zh-CN"/>
        </w:rPr>
        <w:t>分</w:t>
      </w:r>
      <w:r>
        <w:rPr>
          <w:rFonts w:hint="eastAsia" w:ascii="仿宋_GB2312" w:hAnsi="Times New Roman" w:eastAsia="仿宋_GB2312" w:cs="Times New Roman"/>
          <w:sz w:val="24"/>
          <w:szCs w:val="24"/>
          <w:lang w:eastAsia="zh-CN"/>
        </w:rPr>
        <w:t>）</w:t>
      </w:r>
    </w:p>
    <w:p w14:paraId="26D4BF3C">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项目决策的评价指标包括项目立项、绩效目标、资金投入三项二级指标，共涉及项目立项充分性、立项程序规范性、绩效目标合理性、绩效指标明确性、预算编制科学性、资金分配合理性6个三级指标。“项目决策”总分</w:t>
      </w:r>
      <w:r>
        <w:rPr>
          <w:rFonts w:hint="eastAsia" w:ascii="仿宋_GB2312" w:eastAsia="仿宋_GB2312" w:cs="Times New Roman"/>
          <w:sz w:val="24"/>
          <w:szCs w:val="24"/>
          <w:lang w:val="en-US" w:eastAsia="zh-CN"/>
        </w:rPr>
        <w:t>30</w:t>
      </w:r>
      <w:r>
        <w:rPr>
          <w:rFonts w:hint="eastAsia" w:ascii="仿宋_GB2312" w:hAnsi="Times New Roman" w:eastAsia="仿宋_GB2312" w:cs="Times New Roman"/>
          <w:sz w:val="24"/>
          <w:szCs w:val="24"/>
        </w:rPr>
        <w:t>分，得分</w:t>
      </w:r>
      <w:r>
        <w:rPr>
          <w:rFonts w:hint="eastAsia" w:ascii="仿宋_GB2312" w:eastAsia="仿宋_GB2312" w:cs="Times New Roman"/>
          <w:sz w:val="24"/>
          <w:szCs w:val="24"/>
          <w:lang w:val="en-US" w:eastAsia="zh-CN"/>
        </w:rPr>
        <w:t>22</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73.3</w:t>
      </w:r>
      <w:r>
        <w:rPr>
          <w:rFonts w:hint="eastAsia" w:ascii="仿宋_GB2312" w:hAnsi="Times New Roman" w:eastAsia="仿宋_GB2312" w:cs="Times New Roman"/>
          <w:sz w:val="24"/>
          <w:szCs w:val="24"/>
        </w:rPr>
        <w:t>%。主要问题在于设定的</w:t>
      </w:r>
      <w:r>
        <w:rPr>
          <w:rFonts w:hint="eastAsia" w:ascii="仿宋_GB2312" w:hAnsi="Times New Roman" w:eastAsia="仿宋_GB2312" w:cs="Times New Roman"/>
          <w:sz w:val="24"/>
          <w:szCs w:val="24"/>
          <w:lang w:eastAsia="zh-CN"/>
        </w:rPr>
        <w:t>部分</w:t>
      </w:r>
      <w:r>
        <w:rPr>
          <w:rFonts w:hint="eastAsia" w:ascii="仿宋_GB2312" w:hAnsi="Times New Roman" w:eastAsia="仿宋_GB2312" w:cs="Times New Roman"/>
          <w:sz w:val="24"/>
          <w:szCs w:val="24"/>
        </w:rPr>
        <w:t>绩效目标较为简单、笼统，未根据项目实际对产出和效益进行量化、细化，多数为泛化的定性指标，评价依据不清，标准不明确，缺少科学合理的衡量标准：</w:t>
      </w:r>
    </w:p>
    <w:p w14:paraId="372E9E3A">
      <w:pPr>
        <w:pStyle w:val="3"/>
        <w:ind w:firstLine="2160" w:firstLineChars="9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决策类指标评分情况</w:t>
      </w:r>
    </w:p>
    <w:tbl>
      <w:tblPr>
        <w:tblStyle w:val="8"/>
        <w:tblW w:w="5099" w:type="pct"/>
        <w:jc w:val="center"/>
        <w:tblLayout w:type="autofit"/>
        <w:tblCellMar>
          <w:top w:w="0" w:type="dxa"/>
          <w:left w:w="0" w:type="dxa"/>
          <w:bottom w:w="0" w:type="dxa"/>
          <w:right w:w="0" w:type="dxa"/>
        </w:tblCellMar>
      </w:tblPr>
      <w:tblGrid>
        <w:gridCol w:w="724"/>
        <w:gridCol w:w="826"/>
        <w:gridCol w:w="1207"/>
        <w:gridCol w:w="2844"/>
        <w:gridCol w:w="2389"/>
        <w:gridCol w:w="701"/>
      </w:tblGrid>
      <w:tr w14:paraId="357C846F">
        <w:tblPrEx>
          <w:tblCellMar>
            <w:top w:w="0" w:type="dxa"/>
            <w:left w:w="0" w:type="dxa"/>
            <w:bottom w:w="0" w:type="dxa"/>
            <w:right w:w="0" w:type="dxa"/>
          </w:tblCellMar>
        </w:tblPrEx>
        <w:trPr>
          <w:trHeight w:val="692" w:hRule="atLeast"/>
          <w:jc w:val="center"/>
        </w:trPr>
        <w:tc>
          <w:tcPr>
            <w:tcW w:w="417"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3708B9">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一级指标</w:t>
            </w:r>
          </w:p>
        </w:tc>
        <w:tc>
          <w:tcPr>
            <w:tcW w:w="475"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02086D8">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二级指标</w:t>
            </w:r>
          </w:p>
        </w:tc>
        <w:tc>
          <w:tcPr>
            <w:tcW w:w="694"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F71E477">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三级指标</w:t>
            </w:r>
          </w:p>
        </w:tc>
        <w:tc>
          <w:tcPr>
            <w:tcW w:w="1636"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96E4C7D">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指标内容</w:t>
            </w:r>
          </w:p>
        </w:tc>
        <w:tc>
          <w:tcPr>
            <w:tcW w:w="1373"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1E8F0BB">
            <w:pPr>
              <w:widowControl/>
              <w:spacing w:line="320" w:lineRule="atLeast"/>
              <w:jc w:val="center"/>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评价情况</w:t>
            </w:r>
          </w:p>
        </w:tc>
        <w:tc>
          <w:tcPr>
            <w:tcW w:w="403" w:type="pct"/>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2A19415">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分值</w:t>
            </w:r>
          </w:p>
        </w:tc>
      </w:tr>
      <w:tr w14:paraId="2103E6B0">
        <w:tblPrEx>
          <w:tblCellMar>
            <w:top w:w="0" w:type="dxa"/>
            <w:left w:w="0" w:type="dxa"/>
            <w:bottom w:w="0" w:type="dxa"/>
            <w:right w:w="0" w:type="dxa"/>
          </w:tblCellMar>
        </w:tblPrEx>
        <w:trPr>
          <w:trHeight w:val="1412" w:hRule="atLeast"/>
          <w:jc w:val="center"/>
        </w:trPr>
        <w:tc>
          <w:tcPr>
            <w:tcW w:w="417" w:type="pct"/>
            <w:vMerge w:val="restart"/>
            <w:tcBorders>
              <w:top w:val="nil"/>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595371">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决策　</w:t>
            </w:r>
          </w:p>
          <w:p w14:paraId="540B6C53">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（30分）</w:t>
            </w:r>
          </w:p>
          <w:p w14:paraId="18C5021A">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w:t>
            </w:r>
          </w:p>
        </w:tc>
        <w:tc>
          <w:tcPr>
            <w:tcW w:w="475" w:type="pct"/>
            <w:vMerge w:val="restar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620581">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项目立项　</w:t>
            </w: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8AD53B9">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立项依据</w:t>
            </w:r>
          </w:p>
          <w:p w14:paraId="3C7760CA">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充分性（5分）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22E4C53">
            <w:pPr>
              <w:widowControl/>
              <w:spacing w:line="320" w:lineRule="atLeast"/>
              <w:jc w:val="both"/>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项目立项（主体是指项目主管部门，下同）是否符合法律法规、相关政策、发展规划以及部门职责，用以反映和考核项目立项依据情况。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E1AA8E">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该指标得分率为100%，项目立项依据充分，与部门职能紧密相关，立项程序规范，资料齐全，依据评分标准得5分。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7E4F658">
            <w:pPr>
              <w:widowControl/>
              <w:spacing w:line="320" w:lineRule="atLeast"/>
              <w:jc w:val="center"/>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5</w:t>
            </w:r>
          </w:p>
        </w:tc>
      </w:tr>
      <w:tr w14:paraId="3069FF4F">
        <w:tblPrEx>
          <w:tblCellMar>
            <w:top w:w="0" w:type="dxa"/>
            <w:left w:w="0" w:type="dxa"/>
            <w:bottom w:w="0" w:type="dxa"/>
            <w:right w:w="0" w:type="dxa"/>
          </w:tblCellMar>
        </w:tblPrEx>
        <w:trPr>
          <w:trHeight w:val="1016"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4C8A063E">
            <w:pPr>
              <w:widowControl/>
              <w:jc w:val="left"/>
              <w:rPr>
                <w:rFonts w:hint="eastAsia" w:ascii="仿宋_GB2312" w:hAnsi="Times New Roman" w:eastAsia="仿宋_GB2312" w:cs="Times New Roman"/>
                <w:kern w:val="2"/>
                <w:sz w:val="24"/>
                <w:szCs w:val="24"/>
                <w:lang w:val="en-US" w:eastAsia="zh-CN" w:bidi="ar-SA"/>
              </w:rPr>
            </w:pPr>
          </w:p>
        </w:tc>
        <w:tc>
          <w:tcPr>
            <w:tcW w:w="475" w:type="pct"/>
            <w:vMerge w:val="continue"/>
            <w:tcBorders>
              <w:top w:val="nil"/>
              <w:left w:val="nil"/>
              <w:bottom w:val="single" w:color="000000" w:sz="8" w:space="0"/>
              <w:right w:val="single" w:color="000000" w:sz="8" w:space="0"/>
            </w:tcBorders>
            <w:shd w:val="clear" w:color="auto" w:fill="auto"/>
            <w:noWrap w:val="0"/>
            <w:vAlign w:val="center"/>
          </w:tcPr>
          <w:p w14:paraId="304AE0A3">
            <w:pPr>
              <w:widowControl/>
              <w:jc w:val="left"/>
              <w:rPr>
                <w:rFonts w:hint="eastAsia" w:ascii="仿宋_GB2312" w:hAnsi="Times New Roman" w:eastAsia="仿宋_GB2312" w:cs="Times New Roman"/>
                <w:kern w:val="2"/>
                <w:sz w:val="24"/>
                <w:szCs w:val="24"/>
                <w:lang w:val="en-US" w:eastAsia="zh-CN" w:bidi="ar-SA"/>
              </w:rPr>
            </w:pP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520DFE1">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立项程序</w:t>
            </w:r>
          </w:p>
          <w:p w14:paraId="2875C33F">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规范性（5分）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E3A5DDB">
            <w:pPr>
              <w:widowControl/>
              <w:spacing w:line="320" w:lineRule="atLeast"/>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项目申请、设立过程是否符合相关要求，用以反映和考核项目立项的规范情况。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B7D2857">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立项申请、过程符合相关要求，程序规范，指标评价实际得分5分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A0F817">
            <w:pPr>
              <w:widowControl/>
              <w:spacing w:line="320" w:lineRule="atLeast"/>
              <w:jc w:val="center"/>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5</w:t>
            </w:r>
          </w:p>
        </w:tc>
      </w:tr>
      <w:tr w14:paraId="53A835C9">
        <w:tblPrEx>
          <w:tblCellMar>
            <w:top w:w="0" w:type="dxa"/>
            <w:left w:w="0" w:type="dxa"/>
            <w:bottom w:w="0" w:type="dxa"/>
            <w:right w:w="0" w:type="dxa"/>
          </w:tblCellMar>
        </w:tblPrEx>
        <w:trPr>
          <w:trHeight w:val="1190"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180885A2">
            <w:pPr>
              <w:widowControl/>
              <w:jc w:val="left"/>
              <w:rPr>
                <w:rFonts w:hint="eastAsia" w:ascii="仿宋_GB2312" w:hAnsi="Times New Roman" w:eastAsia="仿宋_GB2312" w:cs="Times New Roman"/>
                <w:kern w:val="2"/>
                <w:sz w:val="24"/>
                <w:szCs w:val="24"/>
                <w:lang w:val="en-US" w:eastAsia="zh-CN" w:bidi="ar-SA"/>
              </w:rPr>
            </w:pPr>
          </w:p>
        </w:tc>
        <w:tc>
          <w:tcPr>
            <w:tcW w:w="475" w:type="pct"/>
            <w:vMerge w:val="restar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6F6239B">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绩效目标　</w:t>
            </w: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40FB86">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绩效目标</w:t>
            </w:r>
          </w:p>
          <w:p w14:paraId="4FD7C49E">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合理性（5分）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6B4A159">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项目所设定的绩效目标是否依据充分，是否符合客观实际，用以反映和考核项目绩效目标与项目实施的相符情况。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2403FBD">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在初步设计书里设置绩效目标，设置太简单，职能部门没有制定具体的绩效目标，依据评分标准得</w:t>
            </w:r>
            <w:r>
              <w:rPr>
                <w:rFonts w:hint="eastAsia" w:ascii="仿宋_GB2312" w:eastAsia="仿宋_GB2312" w:cs="Times New Roman"/>
                <w:kern w:val="2"/>
                <w:sz w:val="24"/>
                <w:szCs w:val="24"/>
                <w:lang w:val="en-US" w:eastAsia="zh-CN" w:bidi="ar-SA"/>
              </w:rPr>
              <w:t>3</w:t>
            </w:r>
            <w:r>
              <w:rPr>
                <w:rFonts w:hint="eastAsia" w:ascii="仿宋_GB2312" w:hAnsi="Times New Roman" w:eastAsia="仿宋_GB2312" w:cs="Times New Roman"/>
                <w:kern w:val="2"/>
                <w:sz w:val="24"/>
                <w:szCs w:val="24"/>
                <w:lang w:val="en-US" w:eastAsia="zh-CN" w:bidi="ar-SA"/>
              </w:rPr>
              <w:t>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B430F02">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eastAsia="仿宋_GB2312" w:cs="Times New Roman"/>
                <w:kern w:val="2"/>
                <w:sz w:val="24"/>
                <w:szCs w:val="24"/>
                <w:lang w:val="en-US" w:eastAsia="zh-CN" w:bidi="ar-SA"/>
              </w:rPr>
              <w:t>3</w:t>
            </w:r>
          </w:p>
        </w:tc>
      </w:tr>
      <w:tr w14:paraId="0BABB5B2">
        <w:tblPrEx>
          <w:tblCellMar>
            <w:top w:w="0" w:type="dxa"/>
            <w:left w:w="0" w:type="dxa"/>
            <w:bottom w:w="0" w:type="dxa"/>
            <w:right w:w="0" w:type="dxa"/>
          </w:tblCellMar>
        </w:tblPrEx>
        <w:trPr>
          <w:trHeight w:val="844"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2C268609">
            <w:pPr>
              <w:widowControl/>
              <w:jc w:val="left"/>
              <w:rPr>
                <w:rFonts w:hint="eastAsia" w:ascii="仿宋_GB2312" w:hAnsi="Times New Roman" w:eastAsia="仿宋_GB2312" w:cs="Times New Roman"/>
                <w:kern w:val="2"/>
                <w:sz w:val="24"/>
                <w:szCs w:val="24"/>
                <w:lang w:val="en-US" w:eastAsia="zh-CN" w:bidi="ar-SA"/>
              </w:rPr>
            </w:pPr>
          </w:p>
        </w:tc>
        <w:tc>
          <w:tcPr>
            <w:tcW w:w="475" w:type="pct"/>
            <w:vMerge w:val="continue"/>
            <w:tcBorders>
              <w:top w:val="nil"/>
              <w:left w:val="nil"/>
              <w:bottom w:val="single" w:color="000000" w:sz="8" w:space="0"/>
              <w:right w:val="single" w:color="000000" w:sz="8" w:space="0"/>
            </w:tcBorders>
            <w:shd w:val="clear" w:color="auto" w:fill="auto"/>
            <w:noWrap w:val="0"/>
            <w:vAlign w:val="center"/>
          </w:tcPr>
          <w:p w14:paraId="48E85437">
            <w:pPr>
              <w:widowControl/>
              <w:jc w:val="left"/>
              <w:rPr>
                <w:rFonts w:hint="eastAsia" w:ascii="仿宋_GB2312" w:hAnsi="Times New Roman" w:eastAsia="仿宋_GB2312" w:cs="Times New Roman"/>
                <w:kern w:val="2"/>
                <w:sz w:val="24"/>
                <w:szCs w:val="24"/>
                <w:lang w:val="en-US" w:eastAsia="zh-CN" w:bidi="ar-SA"/>
              </w:rPr>
            </w:pP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CC7F42B">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绩效指标</w:t>
            </w:r>
          </w:p>
          <w:p w14:paraId="17267068">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明确性（5分）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EB6990">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依据绩效目标设定的绩效指标是否清晰、细化、可衡量等，用以反映和考核项目绩效目标的明细化情况。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3112EED">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在初步设计书里有绩效指标值设置，不够完善，未能做到细化量化，部分指标未能及时调整，依据评分标准得2分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BAB40E2">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w:t>
            </w:r>
          </w:p>
        </w:tc>
      </w:tr>
      <w:tr w14:paraId="69019DD8">
        <w:tblPrEx>
          <w:tblCellMar>
            <w:top w:w="0" w:type="dxa"/>
            <w:left w:w="0" w:type="dxa"/>
            <w:bottom w:w="0" w:type="dxa"/>
            <w:right w:w="0" w:type="dxa"/>
          </w:tblCellMar>
        </w:tblPrEx>
        <w:trPr>
          <w:trHeight w:val="1772"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2B4E3CB9">
            <w:pPr>
              <w:widowControl/>
              <w:jc w:val="left"/>
              <w:rPr>
                <w:rFonts w:hint="eastAsia" w:ascii="仿宋_GB2312" w:hAnsi="Times New Roman" w:eastAsia="仿宋_GB2312" w:cs="Times New Roman"/>
                <w:kern w:val="2"/>
                <w:sz w:val="24"/>
                <w:szCs w:val="24"/>
                <w:lang w:val="en-US" w:eastAsia="zh-CN" w:bidi="ar-SA"/>
              </w:rPr>
            </w:pPr>
          </w:p>
        </w:tc>
        <w:tc>
          <w:tcPr>
            <w:tcW w:w="475" w:type="pct"/>
            <w:vMerge w:val="restar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4067B0E">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资金投入</w:t>
            </w:r>
          </w:p>
          <w:p w14:paraId="5D254B72">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　</w:t>
            </w: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9DF7871">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预算编制</w:t>
            </w:r>
          </w:p>
          <w:p w14:paraId="08AC1181">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科学性（5分）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AD56707">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项目预算编制是否经过科学论证、有明确标准，资金额度与年度目标是否相适应，用以反映和考核项目预算编制的科学性、合理性情况。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1BC4779">
            <w:pPr>
              <w:widowControl/>
              <w:spacing w:line="320" w:lineRule="atLeast"/>
              <w:jc w:val="center"/>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科学预算金额按照标准进行测算，期间追加预算12.8万。依据充分得</w:t>
            </w:r>
            <w:r>
              <w:rPr>
                <w:rFonts w:hint="eastAsia" w:ascii="仿宋_GB2312" w:eastAsia="仿宋_GB2312" w:cs="Times New Roman"/>
                <w:kern w:val="2"/>
                <w:sz w:val="24"/>
                <w:szCs w:val="24"/>
                <w:lang w:val="en-US" w:eastAsia="zh-CN" w:bidi="ar-SA"/>
              </w:rPr>
              <w:t>2</w:t>
            </w:r>
            <w:r>
              <w:rPr>
                <w:rFonts w:hint="eastAsia" w:ascii="仿宋_GB2312" w:hAnsi="Times New Roman" w:eastAsia="仿宋_GB2312" w:cs="Times New Roman"/>
                <w:kern w:val="2"/>
                <w:sz w:val="24"/>
                <w:szCs w:val="24"/>
                <w:lang w:val="en-US" w:eastAsia="zh-CN" w:bidi="ar-SA"/>
              </w:rPr>
              <w:t>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7EF9D3F">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w:t>
            </w:r>
          </w:p>
        </w:tc>
      </w:tr>
      <w:tr w14:paraId="69EDF930">
        <w:tblPrEx>
          <w:tblCellMar>
            <w:top w:w="0" w:type="dxa"/>
            <w:left w:w="0" w:type="dxa"/>
            <w:bottom w:w="0" w:type="dxa"/>
            <w:right w:w="0" w:type="dxa"/>
          </w:tblCellMar>
        </w:tblPrEx>
        <w:trPr>
          <w:trHeight w:val="1202" w:hRule="atLeast"/>
          <w:jc w:val="center"/>
        </w:trPr>
        <w:tc>
          <w:tcPr>
            <w:tcW w:w="417" w:type="pct"/>
            <w:vMerge w:val="continue"/>
            <w:tcBorders>
              <w:top w:val="nil"/>
              <w:left w:val="single" w:color="000000" w:sz="8" w:space="0"/>
              <w:bottom w:val="single" w:color="000000" w:sz="8" w:space="0"/>
              <w:right w:val="single" w:color="000000" w:sz="8" w:space="0"/>
            </w:tcBorders>
            <w:shd w:val="clear" w:color="auto" w:fill="auto"/>
            <w:noWrap w:val="0"/>
            <w:vAlign w:val="center"/>
          </w:tcPr>
          <w:p w14:paraId="584B358F">
            <w:pPr>
              <w:widowControl/>
              <w:jc w:val="left"/>
              <w:rPr>
                <w:rFonts w:hint="eastAsia" w:ascii="仿宋_GB2312" w:hAnsi="Times New Roman" w:eastAsia="仿宋_GB2312" w:cs="Times New Roman"/>
                <w:kern w:val="2"/>
                <w:sz w:val="24"/>
                <w:szCs w:val="24"/>
                <w:lang w:val="en-US" w:eastAsia="zh-CN" w:bidi="ar-SA"/>
              </w:rPr>
            </w:pPr>
          </w:p>
        </w:tc>
        <w:tc>
          <w:tcPr>
            <w:tcW w:w="475" w:type="pct"/>
            <w:vMerge w:val="continue"/>
            <w:tcBorders>
              <w:top w:val="nil"/>
              <w:left w:val="nil"/>
              <w:bottom w:val="single" w:color="000000" w:sz="8" w:space="0"/>
              <w:right w:val="single" w:color="000000" w:sz="8" w:space="0"/>
            </w:tcBorders>
            <w:shd w:val="clear" w:color="auto" w:fill="auto"/>
            <w:noWrap w:val="0"/>
            <w:vAlign w:val="center"/>
          </w:tcPr>
          <w:p w14:paraId="2AD1A222">
            <w:pPr>
              <w:widowControl/>
              <w:spacing w:line="320" w:lineRule="atLeast"/>
              <w:jc w:val="center"/>
              <w:rPr>
                <w:rFonts w:hint="eastAsia" w:ascii="仿宋_GB2312" w:hAnsi="Times New Roman" w:eastAsia="仿宋_GB2312" w:cs="Times New Roman"/>
                <w:kern w:val="2"/>
                <w:sz w:val="24"/>
                <w:szCs w:val="24"/>
                <w:lang w:val="en-US" w:eastAsia="zh-CN" w:bidi="ar-SA"/>
              </w:rPr>
            </w:pPr>
          </w:p>
        </w:tc>
        <w:tc>
          <w:tcPr>
            <w:tcW w:w="694"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64448AC">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资金分配</w:t>
            </w:r>
          </w:p>
          <w:p w14:paraId="06BC2B56">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合理性（5分）</w:t>
            </w:r>
          </w:p>
        </w:tc>
        <w:tc>
          <w:tcPr>
            <w:tcW w:w="1636"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1013002">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项目预算资金分配是否有测算依据，与补助单位或地方实际是否相适应，用以反映和考核项目预算资金分配的科学性、合理性情况。</w:t>
            </w:r>
          </w:p>
        </w:tc>
        <w:tc>
          <w:tcPr>
            <w:tcW w:w="137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5603F99">
            <w:pPr>
              <w:widowControl/>
              <w:spacing w:line="320" w:lineRule="atLeast"/>
              <w:jc w:val="center"/>
              <w:rPr>
                <w:rFonts w:hint="default"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项目预算资金分配根据政府相关文件执行。得</w:t>
            </w:r>
            <w:r>
              <w:rPr>
                <w:rFonts w:hint="eastAsia" w:ascii="仿宋_GB2312" w:eastAsia="仿宋_GB2312" w:cs="Times New Roman"/>
                <w:kern w:val="2"/>
                <w:sz w:val="24"/>
                <w:szCs w:val="24"/>
                <w:lang w:val="en-US" w:eastAsia="zh-CN" w:bidi="ar-SA"/>
              </w:rPr>
              <w:t>5</w:t>
            </w:r>
            <w:r>
              <w:rPr>
                <w:rFonts w:hint="eastAsia" w:ascii="仿宋_GB2312" w:hAnsi="Times New Roman" w:eastAsia="仿宋_GB2312" w:cs="Times New Roman"/>
                <w:kern w:val="2"/>
                <w:sz w:val="24"/>
                <w:szCs w:val="24"/>
                <w:lang w:val="en-US" w:eastAsia="zh-CN" w:bidi="ar-SA"/>
              </w:rPr>
              <w:t>分</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55BDF8">
            <w:pPr>
              <w:widowControl/>
              <w:spacing w:line="320" w:lineRule="atLeast"/>
              <w:jc w:val="center"/>
              <w:rPr>
                <w:rFonts w:hint="eastAsia" w:ascii="仿宋_GB2312" w:hAnsi="Times New Roman" w:eastAsia="仿宋_GB2312" w:cs="Times New Roman"/>
                <w:kern w:val="2"/>
                <w:sz w:val="24"/>
                <w:szCs w:val="24"/>
                <w:lang w:val="en-US" w:eastAsia="zh-CN" w:bidi="ar-SA"/>
              </w:rPr>
            </w:pPr>
            <w:r>
              <w:rPr>
                <w:rFonts w:hint="eastAsia" w:ascii="仿宋_GB2312" w:eastAsia="仿宋_GB2312" w:cs="Times New Roman"/>
                <w:kern w:val="2"/>
                <w:sz w:val="24"/>
                <w:szCs w:val="24"/>
                <w:lang w:val="en-US" w:eastAsia="zh-CN" w:bidi="ar-SA"/>
              </w:rPr>
              <w:t>5</w:t>
            </w:r>
          </w:p>
        </w:tc>
      </w:tr>
      <w:tr w14:paraId="6AA15E68">
        <w:tblPrEx>
          <w:tblCellMar>
            <w:top w:w="0" w:type="dxa"/>
            <w:left w:w="0" w:type="dxa"/>
            <w:bottom w:w="0" w:type="dxa"/>
            <w:right w:w="0" w:type="dxa"/>
          </w:tblCellMar>
        </w:tblPrEx>
        <w:trPr>
          <w:trHeight w:val="520" w:hRule="atLeast"/>
          <w:jc w:val="center"/>
        </w:trPr>
        <w:tc>
          <w:tcPr>
            <w:tcW w:w="4596" w:type="pct"/>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0F799CFE">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小计</w:t>
            </w:r>
          </w:p>
        </w:tc>
        <w:tc>
          <w:tcPr>
            <w:tcW w:w="403" w:type="pct"/>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B9095BB">
            <w:pPr>
              <w:widowControl/>
              <w:spacing w:line="320" w:lineRule="atLeast"/>
              <w:jc w:val="center"/>
              <w:rPr>
                <w:rFonts w:hint="eastAsia" w:ascii="仿宋" w:hAnsi="仿宋" w:eastAsia="仿宋" w:cs="仿宋"/>
                <w:kern w:val="0"/>
                <w:sz w:val="24"/>
                <w:szCs w:val="24"/>
              </w:rPr>
            </w:pPr>
            <w:r>
              <w:rPr>
                <w:rFonts w:hint="eastAsia" w:ascii="仿宋_GB2312" w:hAnsi="Times New Roman" w:eastAsia="仿宋_GB2312" w:cs="Times New Roman"/>
                <w:kern w:val="2"/>
                <w:sz w:val="24"/>
                <w:szCs w:val="24"/>
                <w:lang w:val="en-US" w:eastAsia="zh-CN" w:bidi="ar-SA"/>
              </w:rPr>
              <w:t>2</w:t>
            </w:r>
            <w:r>
              <w:rPr>
                <w:rFonts w:hint="eastAsia" w:ascii="仿宋_GB2312" w:eastAsia="仿宋_GB2312" w:cs="Times New Roman"/>
                <w:kern w:val="2"/>
                <w:sz w:val="24"/>
                <w:szCs w:val="24"/>
                <w:lang w:val="en-US" w:eastAsia="zh-CN" w:bidi="ar-SA"/>
              </w:rPr>
              <w:t>2</w:t>
            </w:r>
            <w:r>
              <w:rPr>
                <w:rFonts w:hint="eastAsia" w:ascii="仿宋" w:hAnsi="仿宋" w:eastAsia="仿宋" w:cs="仿宋"/>
                <w:color w:val="000000"/>
                <w:kern w:val="0"/>
                <w:sz w:val="24"/>
                <w:szCs w:val="24"/>
              </w:rPr>
              <w:t> </w:t>
            </w:r>
          </w:p>
        </w:tc>
      </w:tr>
    </w:tbl>
    <w:p w14:paraId="6888FE8F">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1.立项依据充分性</w:t>
      </w:r>
    </w:p>
    <w:p w14:paraId="116DABEF">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指标解释：该项指标主要考核项目立项是否符合法律法规、相关政策、发展规划以及部门职责，用以反映和考核项目立项依据情况。</w:t>
      </w:r>
    </w:p>
    <w:p w14:paraId="3EECB2CD">
      <w:pPr>
        <w:spacing w:line="560" w:lineRule="exact"/>
        <w:ind w:firstLine="480" w:firstLineChars="200"/>
        <w:rPr>
          <w:rFonts w:hint="eastAsia" w:ascii="仿宋_GB2312" w:eastAsia="仿宋_GB2312" w:cs="Times New Roman"/>
          <w:sz w:val="24"/>
          <w:szCs w:val="24"/>
          <w:lang w:val="en-US" w:eastAsia="zh-CN"/>
        </w:rPr>
      </w:pPr>
      <w:r>
        <w:rPr>
          <w:rFonts w:hint="eastAsia" w:ascii="仿宋_GB2312" w:hAnsi="Times New Roman" w:eastAsia="仿宋_GB2312" w:cs="Times New Roman"/>
          <w:sz w:val="24"/>
          <w:szCs w:val="24"/>
        </w:rPr>
        <w:t>评分情况：本项目立项</w:t>
      </w:r>
      <w:r>
        <w:rPr>
          <w:rFonts w:hint="eastAsia" w:ascii="仿宋_GB2312" w:eastAsia="仿宋_GB2312" w:cs="Times New Roman"/>
          <w:sz w:val="24"/>
          <w:szCs w:val="24"/>
          <w:lang w:val="en-US" w:eastAsia="zh-CN"/>
        </w:rPr>
        <w:t>依据安徽省机构编制委员会《关于全省长江、淮河河道管理体制调整有关问题的通知》(皖编[2004]115 号)精神，怀远县淮河河道管理局上划给省淮河河道管理局管理，荆山湖行洪堤等工程下划给当地政府管理。</w:t>
      </w:r>
    </w:p>
    <w:p w14:paraId="7B6E73B5">
      <w:pPr>
        <w:spacing w:line="560" w:lineRule="exact"/>
        <w:ind w:firstLine="480" w:firstLineChars="200"/>
        <w:rPr>
          <w:rFonts w:hint="eastAsia" w:ascii="仿宋_GB2312" w:eastAsia="仿宋_GB2312" w:cs="Times New Roman"/>
          <w:sz w:val="24"/>
          <w:szCs w:val="24"/>
          <w:lang w:val="en-US" w:eastAsia="zh-CN"/>
        </w:rPr>
      </w:pPr>
      <w:r>
        <w:rPr>
          <w:rFonts w:hint="eastAsia" w:ascii="仿宋_GB2312" w:eastAsia="仿宋_GB2312" w:cs="Times New Roman"/>
          <w:sz w:val="24"/>
          <w:szCs w:val="24"/>
          <w:lang w:val="en-US" w:eastAsia="zh-CN"/>
        </w:rPr>
        <w:t>经省淮河河道管理局与怀远县政府、水利局多次协商，从2006年1月10日起执行：</w:t>
      </w:r>
    </w:p>
    <w:p w14:paraId="4B00CE94">
      <w:pPr>
        <w:numPr>
          <w:ilvl w:val="0"/>
          <w:numId w:val="2"/>
        </w:numPr>
        <w:spacing w:line="560" w:lineRule="exact"/>
        <w:rPr>
          <w:rFonts w:hint="eastAsia" w:ascii="仿宋_GB2312" w:eastAsia="仿宋_GB2312" w:cs="Times New Roman"/>
          <w:sz w:val="24"/>
          <w:szCs w:val="24"/>
          <w:lang w:val="en-US" w:eastAsia="zh-CN"/>
        </w:rPr>
      </w:pPr>
      <w:r>
        <w:rPr>
          <w:rFonts w:hint="eastAsia" w:ascii="仿宋_GB2312" w:eastAsia="仿宋_GB2312" w:cs="Times New Roman"/>
          <w:sz w:val="24"/>
          <w:szCs w:val="24"/>
          <w:lang w:val="en-US" w:eastAsia="zh-CN"/>
        </w:rPr>
        <w:t>将怀远县境内沿淮荆山湖行洪堤、汤渔湖缕堤、塌荆段、黄苏段封闭堤、内河堤防、涵闸等及附属管理设施,移交给怀远县人民政府进行管理。（二）、对省编委皖编[2004]115 号文件明确的怀远县淮河河道管理局 2003 年12月31日 170 名在职职工和 55 名(含 2005 年去世1名)离退休人员，经双方协商原则上同意接收，先进行人员初步移交，待省编委、水利厅参加监交时正式办理移交手续;对原不在省编委15号文件内的并未纳入省财政信息库的7人，由接收方另行妥善安置。</w:t>
      </w:r>
    </w:p>
    <w:p w14:paraId="67B0090C">
      <w:pPr>
        <w:numPr>
          <w:ilvl w:val="0"/>
          <w:numId w:val="0"/>
        </w:numPr>
        <w:spacing w:line="560" w:lineRule="exact"/>
        <w:ind w:firstLine="480" w:firstLineChars="200"/>
        <w:rPr>
          <w:rFonts w:hint="default" w:ascii="仿宋_GB2312" w:eastAsia="仿宋_GB2312" w:cs="Times New Roman"/>
          <w:sz w:val="24"/>
          <w:szCs w:val="24"/>
          <w:lang w:val="en-US" w:eastAsia="zh-CN"/>
        </w:rPr>
      </w:pPr>
      <w:r>
        <w:rPr>
          <w:rFonts w:hint="eastAsia" w:ascii="仿宋_GB2312" w:eastAsia="仿宋_GB2312" w:cs="Times New Roman"/>
          <w:sz w:val="24"/>
          <w:szCs w:val="24"/>
          <w:lang w:val="en-US" w:eastAsia="zh-CN"/>
        </w:rPr>
        <w:t>怀远县人民政府会议纪要（第 64 次)怀远县人民政府办公室2020年10月26日发文内容：六、会议听取并原则同意县水利局关于解决怀远淮河河道管理局代管人员工资福利及工程运行维护费用情况的汇报。会议确定:同意追加预算保障淮河河道管理局代管人员工资、福利、养老保险等经费和代管工程运行维护费用，并根据市里纪要精神按实际情况动态调整。追加预算12.8万元。</w:t>
      </w:r>
    </w:p>
    <w:p w14:paraId="21FE960C">
      <w:pPr>
        <w:numPr>
          <w:ilvl w:val="0"/>
          <w:numId w:val="0"/>
        </w:num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项目立项符合法律法规及相关政策的规定，立期依据充分，该项满分</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分，得分率100.00%。</w:t>
      </w:r>
    </w:p>
    <w:p w14:paraId="74CD1F21">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2.立项程序规范性</w:t>
      </w:r>
    </w:p>
    <w:p w14:paraId="4215573F">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指标解释：项目申请、设立过程是否符合相关要求，用以反映和考核项目立项的规范情况。</w:t>
      </w:r>
    </w:p>
    <w:p w14:paraId="24822FC6">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评分情况：项目依据了蚌信联办【2020】3号文件及县政府2020年10月26日第64次常务会议纪要精神进行申报。会议纪要详细记录了关于县管堤防及涵闸运管经费的讨论和决策过程，确保了立项依据的权威性和规范性。</w:t>
      </w:r>
    </w:p>
    <w:p w14:paraId="2C1BCDB5">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本项目按照规定的程序申请设立，取得符合要求的项目立项批复文件，该项满分</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分，得分率100.00%。</w:t>
      </w:r>
    </w:p>
    <w:p w14:paraId="5E28FDA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3.绩效目标合理性</w:t>
      </w:r>
    </w:p>
    <w:p w14:paraId="431D0176">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指标解释：项目所设定的绩效目标是否依据充分，是否符合客观实际，用以反映和考核项目绩效目标与项目实施的相符情况。</w:t>
      </w:r>
    </w:p>
    <w:p w14:paraId="6B1A970E">
      <w:pPr>
        <w:spacing w:line="560" w:lineRule="exact"/>
        <w:ind w:firstLine="480" w:firstLineChars="200"/>
        <w:rPr>
          <w:rFonts w:hint="default" w:ascii="仿宋_GB2312" w:hAnsi="Times New Roman" w:eastAsia="仿宋_GB2312" w:cs="Times New Roman"/>
          <w:sz w:val="24"/>
          <w:szCs w:val="24"/>
          <w:lang w:val="en-US" w:eastAsia="zh-CN"/>
        </w:rPr>
      </w:pPr>
      <w:bookmarkStart w:id="24" w:name="_Hlk79766109"/>
      <w:r>
        <w:rPr>
          <w:rFonts w:hint="eastAsia" w:ascii="仿宋_GB2312" w:hAnsi="Times New Roman" w:eastAsia="仿宋_GB2312" w:cs="Times New Roman"/>
          <w:sz w:val="24"/>
          <w:szCs w:val="24"/>
        </w:rPr>
        <w:t>评分情况：</w:t>
      </w:r>
      <w:bookmarkEnd w:id="24"/>
      <w:r>
        <w:rPr>
          <w:rFonts w:hint="eastAsia" w:ascii="仿宋_GB2312" w:hAnsi="Times New Roman" w:eastAsia="仿宋_GB2312" w:cs="Times New Roman"/>
          <w:sz w:val="24"/>
          <w:szCs w:val="24"/>
        </w:rPr>
        <w:t>项目所设定的绩效目标依据充分，符合客观实际，</w:t>
      </w:r>
      <w:r>
        <w:rPr>
          <w:rFonts w:hint="eastAsia" w:ascii="仿宋_GB2312" w:eastAsia="仿宋_GB2312" w:cs="Times New Roman"/>
          <w:sz w:val="24"/>
          <w:szCs w:val="24"/>
          <w:lang w:val="en-US" w:eastAsia="zh-CN"/>
        </w:rPr>
        <w:t>但在实际管理中没有对后续业务进行跟踪监督，没有具体指标，经费使用上监督不够</w:t>
      </w:r>
      <w:r>
        <w:rPr>
          <w:rFonts w:hint="eastAsia" w:ascii="仿宋_GB2312" w:hAnsi="Times New Roman" w:eastAsia="仿宋_GB2312" w:cs="Times New Roman"/>
          <w:sz w:val="24"/>
          <w:szCs w:val="24"/>
        </w:rPr>
        <w:t>。</w:t>
      </w:r>
      <w:r>
        <w:rPr>
          <w:rFonts w:hint="eastAsia" w:ascii="仿宋_GB2312" w:hAnsi="Times New Roman" w:eastAsia="仿宋_GB2312" w:cs="Times New Roman"/>
          <w:sz w:val="24"/>
          <w:szCs w:val="24"/>
          <w:lang w:eastAsia="zh-CN"/>
        </w:rPr>
        <w:t>该项满分</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lang w:val="en-US" w:eastAsia="zh-CN"/>
        </w:rPr>
        <w:t>分，实际得分</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lang w:val="en-US" w:eastAsia="zh-CN"/>
        </w:rPr>
        <w:t>分，得分率</w:t>
      </w:r>
      <w:r>
        <w:rPr>
          <w:rFonts w:hint="eastAsia" w:ascii="仿宋_GB2312" w:eastAsia="仿宋_GB2312" w:cs="Times New Roman"/>
          <w:sz w:val="24"/>
          <w:szCs w:val="24"/>
          <w:lang w:val="en-US" w:eastAsia="zh-CN"/>
        </w:rPr>
        <w:t>6</w:t>
      </w:r>
      <w:r>
        <w:rPr>
          <w:rFonts w:hint="eastAsia" w:ascii="仿宋_GB2312" w:hAnsi="Times New Roman" w:eastAsia="仿宋_GB2312" w:cs="Times New Roman"/>
          <w:sz w:val="24"/>
          <w:szCs w:val="24"/>
          <w:lang w:val="en-US" w:eastAsia="zh-CN"/>
        </w:rPr>
        <w:t>0%。</w:t>
      </w:r>
    </w:p>
    <w:p w14:paraId="79F5C075">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4.绩效指标明确性</w:t>
      </w:r>
    </w:p>
    <w:p w14:paraId="162316DA">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指标解释：依据绩效目标设定的绩效指标是否清晰、细化、可衡量等，用以反映和考核项目绩效目标的明细化情况。</w:t>
      </w:r>
    </w:p>
    <w:p w14:paraId="77A8DE5A">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评分情况：绩效目标较为简单、笼统，未根据项目实际对</w:t>
      </w:r>
      <w:r>
        <w:rPr>
          <w:rFonts w:hint="eastAsia" w:ascii="仿宋_GB2312" w:eastAsia="仿宋_GB2312" w:cs="Times New Roman"/>
          <w:sz w:val="24"/>
          <w:szCs w:val="24"/>
          <w:lang w:val="en-US" w:eastAsia="zh-CN"/>
        </w:rPr>
        <w:t>决策、投入进行</w:t>
      </w:r>
      <w:r>
        <w:rPr>
          <w:rFonts w:hint="eastAsia" w:ascii="仿宋_GB2312" w:hAnsi="Times New Roman" w:eastAsia="仿宋_GB2312" w:cs="Times New Roman"/>
          <w:sz w:val="24"/>
          <w:szCs w:val="24"/>
        </w:rPr>
        <w:t>量化、细化</w:t>
      </w:r>
      <w:r>
        <w:rPr>
          <w:rFonts w:hint="eastAsia" w:ascii="仿宋_GB2312" w:eastAsia="仿宋_GB2312" w:cs="Times New Roman"/>
          <w:sz w:val="24"/>
          <w:szCs w:val="24"/>
          <w:lang w:val="en-US" w:eastAsia="zh-CN"/>
        </w:rPr>
        <w:t>分析。对产出与效益与</w:t>
      </w:r>
      <w:r>
        <w:rPr>
          <w:rFonts w:hint="eastAsia" w:ascii="仿宋_GB2312" w:hAnsi="Times New Roman" w:eastAsia="仿宋_GB2312" w:cs="Times New Roman"/>
          <w:sz w:val="24"/>
          <w:szCs w:val="24"/>
        </w:rPr>
        <w:t>多数为泛化的定性指标，评价依据不清，标准不明确，缺少科学合理的衡量标准，如效益指标</w:t>
      </w:r>
      <w:r>
        <w:rPr>
          <w:rFonts w:hint="eastAsia" w:ascii="仿宋_GB2312" w:eastAsia="仿宋_GB2312" w:cs="Times New Roman"/>
          <w:sz w:val="24"/>
          <w:szCs w:val="24"/>
          <w:lang w:val="en-US" w:eastAsia="zh-CN"/>
        </w:rPr>
        <w:t>不</w:t>
      </w:r>
      <w:r>
        <w:rPr>
          <w:rFonts w:hint="eastAsia" w:ascii="仿宋_GB2312" w:hAnsi="Times New Roman" w:eastAsia="仿宋_GB2312" w:cs="Times New Roman"/>
          <w:sz w:val="24"/>
          <w:szCs w:val="24"/>
        </w:rPr>
        <w:t>设置</w:t>
      </w:r>
      <w:r>
        <w:rPr>
          <w:rFonts w:hint="eastAsia" w:ascii="仿宋_GB2312" w:eastAsia="仿宋_GB2312" w:cs="Times New Roman"/>
          <w:sz w:val="24"/>
          <w:szCs w:val="24"/>
          <w:lang w:val="en-US" w:eastAsia="zh-CN"/>
        </w:rPr>
        <w:t>只为笼统的表达</w:t>
      </w:r>
      <w:r>
        <w:rPr>
          <w:rFonts w:hint="eastAsia" w:ascii="仿宋_GB2312" w:hAnsi="Times New Roman" w:eastAsia="仿宋_GB2312" w:cs="Times New Roman"/>
          <w:sz w:val="24"/>
          <w:szCs w:val="24"/>
        </w:rPr>
        <w:t>，指标过于宏大，缺乏量化的数据进行支撑。细化的三级指标与二级指标匹配性不高，如质量指标中的“</w:t>
      </w:r>
      <w:r>
        <w:rPr>
          <w:rFonts w:hint="eastAsia" w:ascii="仿宋_GB2312" w:eastAsia="仿宋_GB2312" w:cs="Times New Roman"/>
          <w:sz w:val="24"/>
          <w:szCs w:val="24"/>
          <w:lang w:val="en-US" w:eastAsia="zh-CN"/>
        </w:rPr>
        <w:t>验收全部合格</w:t>
      </w:r>
      <w:r>
        <w:rPr>
          <w:rFonts w:hint="eastAsia" w:ascii="仿宋_GB2312" w:hAnsi="Times New Roman" w:eastAsia="仿宋_GB2312" w:cs="Times New Roman"/>
          <w:sz w:val="24"/>
          <w:szCs w:val="24"/>
        </w:rPr>
        <w:t>”。根据评价标准，该项满分</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rPr>
        <w:t>分，得分率为</w:t>
      </w:r>
      <w:r>
        <w:rPr>
          <w:rFonts w:hint="eastAsia" w:ascii="仿宋_GB2312" w:eastAsia="仿宋_GB2312" w:cs="Times New Roman"/>
          <w:sz w:val="24"/>
          <w:szCs w:val="24"/>
          <w:lang w:val="en-US" w:eastAsia="zh-CN"/>
        </w:rPr>
        <w:t>40</w:t>
      </w:r>
      <w:r>
        <w:rPr>
          <w:rFonts w:hint="eastAsia" w:ascii="仿宋_GB2312" w:hAnsi="Times New Roman" w:eastAsia="仿宋_GB2312" w:cs="Times New Roman"/>
          <w:sz w:val="24"/>
          <w:szCs w:val="24"/>
        </w:rPr>
        <w:t>%。</w:t>
      </w:r>
    </w:p>
    <w:p w14:paraId="122C5E3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5.预算编制科学性</w:t>
      </w:r>
    </w:p>
    <w:p w14:paraId="1B1FA0D0">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指标解释：项目预算编制是否经过科学论证、有明确标准、资金额度与年度目标是否相适应，用以反映和考核项目预算编制的科学性、合理性情况。</w:t>
      </w:r>
    </w:p>
    <w:p w14:paraId="541D2DED">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评分情况：县</w:t>
      </w:r>
      <w:r>
        <w:rPr>
          <w:rFonts w:hint="eastAsia" w:ascii="仿宋_GB2312" w:eastAsia="仿宋_GB2312" w:cs="Times New Roman"/>
          <w:sz w:val="24"/>
          <w:szCs w:val="24"/>
          <w:lang w:val="en-US" w:eastAsia="zh-CN"/>
        </w:rPr>
        <w:t>水利局</w:t>
      </w:r>
      <w:r>
        <w:rPr>
          <w:rFonts w:hint="eastAsia" w:ascii="仿宋_GB2312" w:hAnsi="Times New Roman" w:eastAsia="仿宋_GB2312" w:cs="Times New Roman"/>
          <w:sz w:val="24"/>
          <w:szCs w:val="24"/>
        </w:rPr>
        <w:t>依据</w:t>
      </w:r>
      <w:r>
        <w:rPr>
          <w:rFonts w:hint="eastAsia" w:ascii="仿宋_GB2312" w:eastAsia="仿宋_GB2312" w:cs="Times New Roman"/>
          <w:sz w:val="24"/>
          <w:szCs w:val="24"/>
          <w:lang w:val="en-US" w:eastAsia="zh-CN"/>
        </w:rPr>
        <w:t>文件规定进行预算</w:t>
      </w:r>
      <w:r>
        <w:rPr>
          <w:rFonts w:hint="eastAsia" w:ascii="仿宋_GB2312" w:hAnsi="Times New Roman" w:eastAsia="仿宋_GB2312" w:cs="Times New Roman"/>
          <w:sz w:val="24"/>
          <w:szCs w:val="24"/>
        </w:rPr>
        <w:t>，预算内容与项目内容匹配，预算额度测算依据充分。</w:t>
      </w:r>
      <w:bookmarkStart w:id="25" w:name="_Hlk79831575"/>
      <w:r>
        <w:rPr>
          <w:rFonts w:hint="eastAsia" w:ascii="仿宋_GB2312" w:eastAsia="仿宋_GB2312" w:cs="Times New Roman"/>
          <w:sz w:val="24"/>
          <w:szCs w:val="24"/>
          <w:lang w:val="en-US" w:eastAsia="zh-CN"/>
        </w:rPr>
        <w:t>但预算不准确，中途追加预算金额12.8万，</w:t>
      </w:r>
      <w:r>
        <w:rPr>
          <w:rFonts w:hint="eastAsia" w:ascii="仿宋_GB2312" w:hAnsi="Times New Roman" w:eastAsia="仿宋_GB2312" w:cs="Times New Roman"/>
          <w:sz w:val="24"/>
          <w:szCs w:val="24"/>
        </w:rPr>
        <w:t>依据评分标准，该项满分</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0.00%。</w:t>
      </w:r>
    </w:p>
    <w:bookmarkEnd w:id="25"/>
    <w:p w14:paraId="00ACB39D">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6.资金分配合理性</w:t>
      </w:r>
    </w:p>
    <w:p w14:paraId="7B4E8018">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指标解释：项目是否有测算依据、</w:t>
      </w:r>
      <w:r>
        <w:rPr>
          <w:rFonts w:hint="eastAsia" w:ascii="仿宋_GB2312" w:eastAsia="仿宋_GB2312" w:cs="Times New Roman"/>
          <w:sz w:val="24"/>
          <w:szCs w:val="24"/>
          <w:lang w:val="en-US" w:eastAsia="zh-CN"/>
        </w:rPr>
        <w:t>根据与怀远淮河河道管理局等</w:t>
      </w:r>
      <w:r>
        <w:rPr>
          <w:rFonts w:hint="eastAsia" w:ascii="仿宋_GB2312" w:hAnsi="Times New Roman" w:eastAsia="仿宋_GB2312" w:cs="Times New Roman"/>
          <w:sz w:val="24"/>
          <w:szCs w:val="24"/>
        </w:rPr>
        <w:t>单位</w:t>
      </w:r>
      <w:r>
        <w:rPr>
          <w:rFonts w:hint="eastAsia" w:ascii="仿宋_GB2312" w:eastAsia="仿宋_GB2312" w:cs="Times New Roman"/>
          <w:sz w:val="24"/>
          <w:szCs w:val="24"/>
          <w:lang w:val="en-US" w:eastAsia="zh-CN"/>
        </w:rPr>
        <w:t>所规定的文件执行，执行金额与实际支出</w:t>
      </w:r>
      <w:r>
        <w:rPr>
          <w:rFonts w:hint="eastAsia" w:ascii="仿宋_GB2312" w:hAnsi="Times New Roman" w:eastAsia="仿宋_GB2312" w:cs="Times New Roman"/>
          <w:sz w:val="24"/>
          <w:szCs w:val="24"/>
        </w:rPr>
        <w:t>是否相适应，用以反映和考核项目预算资金分配的科学性、合理性情况。</w:t>
      </w:r>
    </w:p>
    <w:p w14:paraId="37DDD379">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w:t>
      </w:r>
    </w:p>
    <w:p w14:paraId="0808E4F6">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该项目资金分配有测算依据，资金分配科学合理</w:t>
      </w:r>
      <w:r>
        <w:rPr>
          <w:rFonts w:hint="eastAsia" w:ascii="仿宋_GB2312" w:eastAsia="仿宋_GB2312" w:cs="Times New Roman"/>
          <w:sz w:val="24"/>
          <w:szCs w:val="24"/>
          <w:lang w:eastAsia="zh-CN"/>
        </w:rPr>
        <w:t>，</w:t>
      </w:r>
      <w:r>
        <w:rPr>
          <w:rFonts w:hint="eastAsia" w:ascii="仿宋_GB2312" w:eastAsia="仿宋_GB2312" w:cs="Times New Roman"/>
          <w:sz w:val="24"/>
          <w:szCs w:val="24"/>
          <w:lang w:val="en-US" w:eastAsia="zh-CN"/>
        </w:rPr>
        <w:t>但没有根据当初预算执行，后期追加了预算</w:t>
      </w:r>
      <w:r>
        <w:rPr>
          <w:rFonts w:hint="eastAsia" w:ascii="仿宋_GB2312" w:hAnsi="Times New Roman" w:eastAsia="仿宋_GB2312" w:cs="Times New Roman"/>
          <w:sz w:val="24"/>
          <w:szCs w:val="24"/>
        </w:rPr>
        <w:t>。依据评分标准，该项满分</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10</w:t>
      </w:r>
      <w:r>
        <w:rPr>
          <w:rFonts w:hint="eastAsia" w:ascii="仿宋_GB2312" w:hAnsi="Times New Roman" w:eastAsia="仿宋_GB2312" w:cs="Times New Roman"/>
          <w:sz w:val="24"/>
          <w:szCs w:val="24"/>
        </w:rPr>
        <w:t>0.00%。</w:t>
      </w:r>
    </w:p>
    <w:p w14:paraId="423FB3BE">
      <w:pPr>
        <w:widowControl/>
        <w:shd w:val="clear" w:color="auto" w:fill="FFFFFF"/>
        <w:spacing w:line="560" w:lineRule="atLeast"/>
        <w:ind w:firstLine="480" w:firstLineChars="200"/>
        <w:jc w:val="left"/>
        <w:rPr>
          <w:rFonts w:hint="eastAsia" w:ascii="仿宋" w:hAnsi="仿宋" w:eastAsia="仿宋" w:cs="仿宋"/>
          <w:color w:val="333333"/>
          <w:kern w:val="0"/>
          <w:sz w:val="28"/>
          <w:szCs w:val="28"/>
        </w:rPr>
      </w:pPr>
      <w:bookmarkStart w:id="26" w:name="_Toc31012"/>
      <w:r>
        <w:rPr>
          <w:rFonts w:hint="eastAsia" w:ascii="楷体_GB2312" w:eastAsia="楷体_GB2312" w:cs="Times New Roman"/>
          <w:sz w:val="24"/>
          <w:szCs w:val="24"/>
          <w:lang w:eastAsia="zh-CN"/>
        </w:rPr>
        <w:t>（</w:t>
      </w:r>
      <w:r>
        <w:rPr>
          <w:rFonts w:hint="eastAsia" w:ascii="楷体_GB2312" w:hAnsi="Times New Roman" w:eastAsia="楷体_GB2312" w:cs="Times New Roman"/>
          <w:sz w:val="24"/>
          <w:szCs w:val="24"/>
        </w:rPr>
        <w:t>二）项目过程情况</w:t>
      </w:r>
      <w:bookmarkEnd w:id="26"/>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满分2</w:t>
      </w:r>
      <w:r>
        <w:rPr>
          <w:rFonts w:hint="eastAsia" w:ascii="仿宋_GB2312" w:eastAsia="仿宋_GB2312" w:cs="Times New Roman"/>
          <w:sz w:val="24"/>
          <w:szCs w:val="24"/>
          <w:lang w:val="en-US" w:eastAsia="zh-CN"/>
        </w:rPr>
        <w:t>8</w:t>
      </w:r>
      <w:r>
        <w:rPr>
          <w:rFonts w:hint="eastAsia" w:ascii="仿宋_GB2312" w:hAnsi="Times New Roman" w:eastAsia="仿宋_GB2312" w:cs="Times New Roman"/>
          <w:sz w:val="24"/>
          <w:szCs w:val="24"/>
          <w:lang w:val="en-US" w:eastAsia="zh-CN"/>
        </w:rPr>
        <w:t>分，实得</w:t>
      </w:r>
      <w:r>
        <w:rPr>
          <w:rFonts w:hint="eastAsia" w:ascii="仿宋_GB2312" w:eastAsia="仿宋_GB2312" w:cs="Times New Roman"/>
          <w:sz w:val="24"/>
          <w:szCs w:val="24"/>
          <w:lang w:val="en-US" w:eastAsia="zh-CN"/>
        </w:rPr>
        <w:t>21</w:t>
      </w:r>
      <w:r>
        <w:rPr>
          <w:rFonts w:hint="eastAsia" w:ascii="仿宋_GB2312" w:hAnsi="Times New Roman" w:eastAsia="仿宋_GB2312" w:cs="Times New Roman"/>
          <w:sz w:val="24"/>
          <w:szCs w:val="24"/>
          <w:lang w:val="en-US" w:eastAsia="zh-CN"/>
        </w:rPr>
        <w:t>分</w:t>
      </w:r>
      <w:r>
        <w:rPr>
          <w:rFonts w:hint="eastAsia" w:ascii="仿宋_GB2312" w:hAnsi="Times New Roman" w:eastAsia="仿宋_GB2312" w:cs="Times New Roman"/>
          <w:sz w:val="24"/>
          <w:szCs w:val="24"/>
          <w:lang w:eastAsia="zh-CN"/>
        </w:rPr>
        <w:t>）</w:t>
      </w:r>
    </w:p>
    <w:p w14:paraId="0994641F">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项目</w:t>
      </w:r>
      <w:r>
        <w:rPr>
          <w:rFonts w:hint="eastAsia" w:ascii="仿宋_GB2312" w:eastAsia="仿宋_GB2312" w:cs="Times New Roman"/>
          <w:sz w:val="24"/>
          <w:szCs w:val="24"/>
          <w:lang w:val="en-US" w:eastAsia="zh-CN"/>
        </w:rPr>
        <w:t>过程</w:t>
      </w:r>
      <w:r>
        <w:rPr>
          <w:rFonts w:hint="eastAsia" w:ascii="仿宋_GB2312" w:hAnsi="Times New Roman" w:eastAsia="仿宋_GB2312" w:cs="Times New Roman"/>
          <w:sz w:val="24"/>
          <w:szCs w:val="24"/>
        </w:rPr>
        <w:t>的评价指标包括资金管理、组织实施二项二级指标，共涉及资金到位率、资金拨付及时性、预算执行率、资金使用合规性、绩效自评内容准确完整性、绩效自评结论真实性、管理制度健全性、制度执行有效性8个三级指标。“项目过程”总分28分，得分</w:t>
      </w:r>
      <w:r>
        <w:rPr>
          <w:rFonts w:hint="eastAsia" w:ascii="仿宋_GB2312" w:hAnsi="Times New Roman" w:eastAsia="仿宋_GB2312" w:cs="Times New Roman"/>
          <w:sz w:val="24"/>
          <w:szCs w:val="24"/>
          <w:lang w:val="en-US" w:eastAsia="zh-CN"/>
        </w:rPr>
        <w:t>2</w:t>
      </w:r>
      <w:r>
        <w:rPr>
          <w:rFonts w:hint="eastAsia" w:ascii="仿宋_GB2312" w:eastAsia="仿宋_GB2312" w:cs="Times New Roman"/>
          <w:sz w:val="24"/>
          <w:szCs w:val="24"/>
          <w:lang w:val="en-US" w:eastAsia="zh-CN"/>
        </w:rPr>
        <w:t>1</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7</w:t>
      </w:r>
      <w:r>
        <w:rPr>
          <w:rFonts w:hint="eastAsia" w:ascii="仿宋_GB2312" w:hAnsi="Times New Roman" w:eastAsia="仿宋_GB2312" w:cs="Times New Roman"/>
          <w:sz w:val="24"/>
          <w:szCs w:val="24"/>
        </w:rPr>
        <w:t>5%。主要问题在于绩效指标设置不明确、不规范，绩效自评内容不完整，填写不规范，自评结论不能够真实准确反映项目实际完成情况：</w:t>
      </w:r>
    </w:p>
    <w:p w14:paraId="41FAB632">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项目过程设立1个一级指标，2个二级指标和</w:t>
      </w:r>
      <w:r>
        <w:rPr>
          <w:rFonts w:hint="eastAsia" w:ascii="仿宋_GB2312" w:hAnsi="Times New Roman" w:eastAsia="仿宋_GB2312" w:cs="Times New Roman"/>
          <w:sz w:val="24"/>
          <w:szCs w:val="24"/>
          <w:lang w:val="en-US" w:eastAsia="zh-CN"/>
        </w:rPr>
        <w:t>5</w:t>
      </w:r>
      <w:r>
        <w:rPr>
          <w:rFonts w:hint="eastAsia" w:ascii="仿宋_GB2312" w:hAnsi="Times New Roman" w:eastAsia="仿宋_GB2312" w:cs="Times New Roman"/>
          <w:sz w:val="24"/>
          <w:szCs w:val="24"/>
        </w:rPr>
        <w:t>个三级指标，具体指标情况如下：</w:t>
      </w:r>
    </w:p>
    <w:tbl>
      <w:tblPr>
        <w:tblStyle w:val="8"/>
        <w:tblW w:w="8925" w:type="dxa"/>
        <w:jc w:val="center"/>
        <w:tblLayout w:type="fixed"/>
        <w:tblCellMar>
          <w:top w:w="0" w:type="dxa"/>
          <w:left w:w="0" w:type="dxa"/>
          <w:bottom w:w="0" w:type="dxa"/>
          <w:right w:w="0" w:type="dxa"/>
        </w:tblCellMar>
      </w:tblPr>
      <w:tblGrid>
        <w:gridCol w:w="760"/>
        <w:gridCol w:w="732"/>
        <w:gridCol w:w="1218"/>
        <w:gridCol w:w="2438"/>
        <w:gridCol w:w="2436"/>
        <w:gridCol w:w="1341"/>
      </w:tblGrid>
      <w:tr w14:paraId="5969F647">
        <w:tblPrEx>
          <w:tblCellMar>
            <w:top w:w="0" w:type="dxa"/>
            <w:left w:w="0" w:type="dxa"/>
            <w:bottom w:w="0" w:type="dxa"/>
            <w:right w:w="0" w:type="dxa"/>
          </w:tblCellMar>
        </w:tblPrEx>
        <w:trPr>
          <w:trHeight w:val="692" w:hRule="atLeast"/>
          <w:jc w:val="center"/>
        </w:trPr>
        <w:tc>
          <w:tcPr>
            <w:tcW w:w="76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56CEB8E">
            <w:pPr>
              <w:widowControl/>
              <w:spacing w:line="32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rPr>
              <w:t>一级指标</w:t>
            </w:r>
          </w:p>
        </w:tc>
        <w:tc>
          <w:tcPr>
            <w:tcW w:w="732"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32F691">
            <w:pPr>
              <w:widowControl/>
              <w:spacing w:line="32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rPr>
              <w:t>二级指标</w:t>
            </w:r>
          </w:p>
        </w:tc>
        <w:tc>
          <w:tcPr>
            <w:tcW w:w="1218"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0FE857D">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三级指标</w:t>
            </w:r>
          </w:p>
        </w:tc>
        <w:tc>
          <w:tcPr>
            <w:tcW w:w="2438"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D48416">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指标内容</w:t>
            </w:r>
          </w:p>
        </w:tc>
        <w:tc>
          <w:tcPr>
            <w:tcW w:w="2436"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2C955C8">
            <w:pPr>
              <w:widowControl/>
              <w:spacing w:line="32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评价情况</w:t>
            </w:r>
          </w:p>
        </w:tc>
        <w:tc>
          <w:tcPr>
            <w:tcW w:w="1341"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A23B8EB">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分值</w:t>
            </w:r>
          </w:p>
        </w:tc>
      </w:tr>
      <w:tr w14:paraId="2F00F960">
        <w:tblPrEx>
          <w:tblCellMar>
            <w:top w:w="0" w:type="dxa"/>
            <w:left w:w="0" w:type="dxa"/>
            <w:bottom w:w="0" w:type="dxa"/>
            <w:right w:w="0" w:type="dxa"/>
          </w:tblCellMar>
        </w:tblPrEx>
        <w:trPr>
          <w:trHeight w:val="1095" w:hRule="atLeast"/>
          <w:jc w:val="center"/>
        </w:trPr>
        <w:tc>
          <w:tcPr>
            <w:tcW w:w="760" w:type="dxa"/>
            <w:vMerge w:val="restart"/>
            <w:tcBorders>
              <w:top w:val="nil"/>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A8C238E">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过程</w:t>
            </w:r>
          </w:p>
          <w:p w14:paraId="51B98A80">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（28分</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rPr>
              <w:t>　</w:t>
            </w:r>
          </w:p>
          <w:p w14:paraId="3AA52921">
            <w:pPr>
              <w:widowControl/>
              <w:spacing w:line="320" w:lineRule="atLeast"/>
              <w:jc w:val="center"/>
              <w:rPr>
                <w:rFonts w:hint="eastAsia" w:ascii="仿宋" w:hAnsi="仿宋" w:eastAsia="仿宋" w:cs="仿宋"/>
                <w:kern w:val="0"/>
                <w:sz w:val="24"/>
                <w:szCs w:val="24"/>
              </w:rPr>
            </w:pPr>
            <w:r>
              <w:rPr>
                <w:rFonts w:hint="eastAsia" w:ascii="仿宋" w:hAnsi="仿宋" w:eastAsia="仿宋" w:cs="仿宋"/>
                <w:color w:val="000000"/>
                <w:kern w:val="0"/>
                <w:sz w:val="24"/>
                <w:szCs w:val="24"/>
              </w:rPr>
              <w:t>　</w:t>
            </w:r>
          </w:p>
        </w:tc>
        <w:tc>
          <w:tcPr>
            <w:tcW w:w="732" w:type="dxa"/>
            <w:vMerge w:val="restart"/>
            <w:tcBorders>
              <w:top w:val="nil"/>
              <w:left w:val="nil"/>
              <w:right w:val="single" w:color="000000" w:sz="8" w:space="0"/>
            </w:tcBorders>
            <w:shd w:val="clear" w:color="auto" w:fill="FFFFFF"/>
            <w:noWrap w:val="0"/>
            <w:tcMar>
              <w:top w:w="0" w:type="dxa"/>
              <w:left w:w="108" w:type="dxa"/>
              <w:bottom w:w="0" w:type="dxa"/>
              <w:right w:w="108" w:type="dxa"/>
            </w:tcMar>
            <w:vAlign w:val="center"/>
          </w:tcPr>
          <w:p w14:paraId="13DD5853">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资金管理</w:t>
            </w:r>
          </w:p>
          <w:p w14:paraId="7317339E">
            <w:pPr>
              <w:widowControl/>
              <w:spacing w:line="320" w:lineRule="atLeast"/>
              <w:jc w:val="center"/>
              <w:rPr>
                <w:rFonts w:hint="eastAsia" w:ascii="仿宋" w:hAnsi="仿宋" w:eastAsia="仿宋" w:cs="仿宋"/>
                <w:kern w:val="0"/>
                <w:sz w:val="24"/>
                <w:szCs w:val="24"/>
                <w:lang w:eastAsia="zh-CN"/>
              </w:rPr>
            </w:pPr>
            <w:r>
              <w:rPr>
                <w:rFonts w:hint="eastAsia" w:ascii="仿宋_GB2312" w:hAnsi="Times New Roman" w:eastAsia="仿宋_GB2312" w:cs="Times New Roman"/>
                <w:sz w:val="24"/>
                <w:szCs w:val="24"/>
                <w:lang w:val="en-US" w:eastAsia="zh-CN"/>
              </w:rPr>
              <w:t>（24分</w:t>
            </w:r>
            <w:r>
              <w:rPr>
                <w:rFonts w:hint="eastAsia" w:ascii="仿宋_GB2312" w:hAnsi="Times New Roman" w:eastAsia="仿宋_GB2312" w:cs="Times New Roman"/>
                <w:sz w:val="24"/>
                <w:szCs w:val="24"/>
                <w:lang w:eastAsia="zh-CN"/>
              </w:rPr>
              <w:t>）</w:t>
            </w: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51691A">
            <w:pPr>
              <w:widowControl/>
              <w:spacing w:line="32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rPr>
              <w:t>资金到位率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4分</w:t>
            </w:r>
            <w:r>
              <w:rPr>
                <w:rFonts w:hint="eastAsia" w:ascii="仿宋_GB2312" w:hAnsi="Times New Roman" w:eastAsia="仿宋_GB2312" w:cs="Times New Roman"/>
                <w:sz w:val="24"/>
                <w:szCs w:val="24"/>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4A37E15">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实际到位资金与</w:t>
            </w:r>
            <w:r>
              <w:rPr>
                <w:rFonts w:hint="eastAsia" w:ascii="仿宋_GB2312" w:hAnsi="Times New Roman" w:eastAsia="仿宋_GB2312" w:cs="Times New Roman"/>
                <w:sz w:val="24"/>
                <w:szCs w:val="24"/>
                <w:lang w:val="en-US" w:eastAsia="zh-CN"/>
              </w:rPr>
              <w:t>申请</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rPr>
              <w:t>预算</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rPr>
              <w:t>资金的比率，用以反映和考核资金落实情况对项目实施的总体保障程度。</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D5BABE1">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实际到位资金与预算资金的比率</w:t>
            </w:r>
            <w:r>
              <w:rPr>
                <w:rFonts w:hint="eastAsia" w:ascii="仿宋_GB2312" w:hAnsi="Times New Roman" w:eastAsia="仿宋_GB2312" w:cs="Times New Roman"/>
                <w:sz w:val="24"/>
                <w:szCs w:val="24"/>
                <w:lang w:val="en-US" w:eastAsia="zh-CN"/>
              </w:rPr>
              <w:t>100%</w:t>
            </w:r>
            <w:r>
              <w:rPr>
                <w:rFonts w:hint="eastAsia" w:ascii="仿宋_GB2312" w:hAnsi="Times New Roman" w:eastAsia="仿宋_GB2312" w:cs="Times New Roman"/>
                <w:sz w:val="24"/>
                <w:szCs w:val="24"/>
              </w:rPr>
              <w:t>，</w:t>
            </w:r>
            <w:r>
              <w:rPr>
                <w:rFonts w:hint="eastAsia" w:ascii="仿宋_GB2312" w:hAnsi="Times New Roman" w:eastAsia="仿宋_GB2312" w:cs="Times New Roman"/>
                <w:sz w:val="24"/>
                <w:szCs w:val="24"/>
                <w:lang w:val="en-US" w:eastAsia="zh-CN"/>
              </w:rPr>
              <w:t>能</w:t>
            </w:r>
            <w:r>
              <w:rPr>
                <w:rFonts w:hint="eastAsia" w:ascii="仿宋_GB2312" w:hAnsi="Times New Roman" w:eastAsia="仿宋_GB2312" w:cs="Times New Roman"/>
                <w:sz w:val="24"/>
                <w:szCs w:val="24"/>
              </w:rPr>
              <w:t>反映和考核资金落实情况</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能</w:t>
            </w:r>
            <w:r>
              <w:rPr>
                <w:rFonts w:hint="eastAsia" w:ascii="仿宋_GB2312" w:hAnsi="Times New Roman" w:eastAsia="仿宋_GB2312" w:cs="Times New Roman"/>
                <w:sz w:val="24"/>
                <w:szCs w:val="24"/>
              </w:rPr>
              <w:t>对项目实施的总体保障。</w:t>
            </w:r>
            <w:r>
              <w:rPr>
                <w:rFonts w:hint="eastAsia" w:ascii="仿宋_GB2312" w:hAnsi="Times New Roman" w:eastAsia="仿宋_GB2312" w:cs="Times New Roman"/>
                <w:sz w:val="24"/>
                <w:szCs w:val="24"/>
                <w:lang w:val="en-US" w:eastAsia="zh-CN"/>
              </w:rPr>
              <w:t>得4分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8FB5C34">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02BFB2B3">
        <w:tblPrEx>
          <w:tblCellMar>
            <w:top w:w="0" w:type="dxa"/>
            <w:left w:w="0" w:type="dxa"/>
            <w:bottom w:w="0" w:type="dxa"/>
            <w:right w:w="0" w:type="dxa"/>
          </w:tblCellMar>
        </w:tblPrEx>
        <w:trPr>
          <w:trHeight w:val="836"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20D868F3">
            <w:pPr>
              <w:widowControl/>
              <w:jc w:val="left"/>
              <w:rPr>
                <w:rFonts w:hint="eastAsia" w:ascii="仿宋" w:hAnsi="仿宋" w:eastAsia="仿宋" w:cs="仿宋"/>
                <w:kern w:val="0"/>
                <w:sz w:val="24"/>
                <w:szCs w:val="24"/>
              </w:rPr>
            </w:pPr>
          </w:p>
        </w:tc>
        <w:tc>
          <w:tcPr>
            <w:tcW w:w="732" w:type="dxa"/>
            <w:vMerge w:val="continue"/>
            <w:tcBorders>
              <w:left w:val="nil"/>
              <w:right w:val="single" w:color="000000" w:sz="8" w:space="0"/>
            </w:tcBorders>
            <w:shd w:val="clear" w:color="auto" w:fill="auto"/>
            <w:noWrap w:val="0"/>
            <w:vAlign w:val="center"/>
          </w:tcPr>
          <w:p w14:paraId="10D7294C">
            <w:pPr>
              <w:widowControl/>
              <w:jc w:val="left"/>
              <w:rPr>
                <w:rFonts w:hint="eastAsia" w:ascii="仿宋" w:hAnsi="仿宋" w:eastAsia="仿宋" w:cs="仿宋"/>
                <w:kern w:val="0"/>
                <w:sz w:val="24"/>
                <w:szCs w:val="24"/>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A37E493">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资金拨付及时性</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4分</w:t>
            </w:r>
            <w:r>
              <w:rPr>
                <w:rFonts w:hint="eastAsia" w:ascii="仿宋_GB2312" w:hAnsi="Times New Roman" w:eastAsia="仿宋_GB2312" w:cs="Times New Roman"/>
                <w:sz w:val="24"/>
                <w:szCs w:val="24"/>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7AC4861">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项目资金是否按照依法依规及时拨付，用以反映和考核项目资金拨付时效情况。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C4DC843">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未能提供资金到位凭证，无法反映及时性，得2分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8D59861">
            <w:pPr>
              <w:widowControl/>
              <w:spacing w:line="32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val="en-US" w:eastAsia="zh-CN"/>
              </w:rPr>
              <w:t>2</w:t>
            </w:r>
          </w:p>
        </w:tc>
      </w:tr>
      <w:tr w14:paraId="0B75F630">
        <w:tblPrEx>
          <w:tblCellMar>
            <w:top w:w="0" w:type="dxa"/>
            <w:left w:w="0" w:type="dxa"/>
            <w:bottom w:w="0" w:type="dxa"/>
            <w:right w:w="0" w:type="dxa"/>
          </w:tblCellMar>
        </w:tblPrEx>
        <w:trPr>
          <w:trHeight w:val="79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3033FA1D">
            <w:pPr>
              <w:widowControl/>
              <w:jc w:val="left"/>
              <w:rPr>
                <w:rFonts w:hint="eastAsia" w:ascii="仿宋" w:hAnsi="仿宋" w:eastAsia="仿宋" w:cs="仿宋"/>
                <w:kern w:val="0"/>
                <w:sz w:val="24"/>
                <w:szCs w:val="24"/>
              </w:rPr>
            </w:pPr>
          </w:p>
        </w:tc>
        <w:tc>
          <w:tcPr>
            <w:tcW w:w="732" w:type="dxa"/>
            <w:vMerge w:val="continue"/>
            <w:tcBorders>
              <w:left w:val="nil"/>
              <w:right w:val="single" w:color="000000" w:sz="8" w:space="0"/>
            </w:tcBorders>
            <w:shd w:val="clear" w:color="auto" w:fill="auto"/>
            <w:noWrap w:val="0"/>
            <w:vAlign w:val="center"/>
          </w:tcPr>
          <w:p w14:paraId="587FFF5F">
            <w:pPr>
              <w:widowControl/>
              <w:jc w:val="left"/>
              <w:rPr>
                <w:rFonts w:hint="eastAsia" w:ascii="仿宋" w:hAnsi="仿宋" w:eastAsia="仿宋" w:cs="仿宋"/>
                <w:kern w:val="0"/>
                <w:sz w:val="24"/>
                <w:szCs w:val="24"/>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41826C8">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预算执行率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4分</w:t>
            </w:r>
            <w:r>
              <w:rPr>
                <w:rFonts w:hint="eastAsia" w:ascii="仿宋_GB2312" w:hAnsi="Times New Roman" w:eastAsia="仿宋_GB2312" w:cs="Times New Roman"/>
                <w:sz w:val="24"/>
                <w:szCs w:val="24"/>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D2CD2B9">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项目预算资金是否按照计划执行，用以反映或考核项目预算执行情况。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6E1FE93">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项目预算资金</w:t>
            </w:r>
            <w:r>
              <w:rPr>
                <w:rFonts w:hint="eastAsia" w:ascii="仿宋_GB2312" w:hAnsi="Times New Roman" w:eastAsia="仿宋_GB2312" w:cs="Times New Roman"/>
                <w:sz w:val="24"/>
                <w:szCs w:val="24"/>
                <w:lang w:val="en-US" w:eastAsia="zh-CN"/>
              </w:rPr>
              <w:t>能反</w:t>
            </w:r>
            <w:r>
              <w:rPr>
                <w:rFonts w:hint="eastAsia" w:ascii="仿宋_GB2312" w:hAnsi="Times New Roman" w:eastAsia="仿宋_GB2312" w:cs="Times New Roman"/>
                <w:sz w:val="24"/>
                <w:szCs w:val="24"/>
              </w:rPr>
              <w:t>映或考核项目预算执行情况。</w:t>
            </w:r>
            <w:r>
              <w:rPr>
                <w:rFonts w:hint="eastAsia" w:ascii="仿宋_GB2312" w:hAnsi="Times New Roman" w:eastAsia="仿宋_GB2312" w:cs="Times New Roman"/>
                <w:sz w:val="24"/>
                <w:szCs w:val="24"/>
                <w:lang w:val="en-US" w:eastAsia="zh-CN"/>
              </w:rPr>
              <w:t>得4分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77702A3">
            <w:pPr>
              <w:widowControl/>
              <w:spacing w:line="32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val="en-US" w:eastAsia="zh-CN"/>
              </w:rPr>
              <w:t>4</w:t>
            </w:r>
          </w:p>
        </w:tc>
      </w:tr>
      <w:tr w14:paraId="531CA8AA">
        <w:tblPrEx>
          <w:tblCellMar>
            <w:top w:w="0" w:type="dxa"/>
            <w:left w:w="0" w:type="dxa"/>
            <w:bottom w:w="0" w:type="dxa"/>
            <w:right w:w="0" w:type="dxa"/>
          </w:tblCellMar>
        </w:tblPrEx>
        <w:trPr>
          <w:trHeight w:val="108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079D6421">
            <w:pPr>
              <w:widowControl/>
              <w:jc w:val="left"/>
              <w:rPr>
                <w:rFonts w:hint="eastAsia" w:ascii="仿宋" w:hAnsi="仿宋" w:eastAsia="仿宋" w:cs="仿宋"/>
                <w:kern w:val="0"/>
                <w:sz w:val="24"/>
                <w:szCs w:val="24"/>
              </w:rPr>
            </w:pPr>
          </w:p>
        </w:tc>
        <w:tc>
          <w:tcPr>
            <w:tcW w:w="732" w:type="dxa"/>
            <w:vMerge w:val="continue"/>
            <w:tcBorders>
              <w:left w:val="nil"/>
              <w:right w:val="single" w:color="000000" w:sz="8" w:space="0"/>
            </w:tcBorders>
            <w:shd w:val="clear" w:color="auto" w:fill="auto"/>
            <w:noWrap w:val="0"/>
            <w:vAlign w:val="center"/>
          </w:tcPr>
          <w:p w14:paraId="29935166">
            <w:pPr>
              <w:widowControl/>
              <w:jc w:val="left"/>
              <w:rPr>
                <w:rFonts w:hint="eastAsia" w:ascii="仿宋" w:hAnsi="仿宋" w:eastAsia="仿宋" w:cs="仿宋"/>
                <w:kern w:val="0"/>
                <w:sz w:val="24"/>
                <w:szCs w:val="24"/>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E6CC0B">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资金使用</w:t>
            </w:r>
          </w:p>
          <w:p w14:paraId="3D4BAA78">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合规性</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4分</w:t>
            </w:r>
            <w:r>
              <w:rPr>
                <w:rFonts w:hint="eastAsia" w:ascii="仿宋_GB2312" w:hAnsi="Times New Roman" w:eastAsia="仿宋_GB2312" w:cs="Times New Roman"/>
                <w:sz w:val="24"/>
                <w:szCs w:val="24"/>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FC6CA54">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项目资金使用是否符合相关的财务管理制度规定，用以反映和考核项目资金的规范运行情况。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50E29D6">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提供针对项目资金管理制度，能评价资金规范运行情况，但支付依据只提供文件与申请没能完全</w:t>
            </w:r>
            <w:r>
              <w:rPr>
                <w:rFonts w:hint="eastAsia" w:ascii="仿宋_GB2312" w:eastAsia="仿宋_GB2312" w:cs="Times New Roman"/>
                <w:sz w:val="24"/>
                <w:szCs w:val="24"/>
                <w:lang w:val="en-US" w:eastAsia="zh-CN"/>
              </w:rPr>
              <w:t>提供</w:t>
            </w:r>
            <w:r>
              <w:rPr>
                <w:rFonts w:hint="eastAsia" w:ascii="仿宋_GB2312" w:hAnsi="Times New Roman" w:eastAsia="仿宋_GB2312" w:cs="Times New Roman"/>
                <w:sz w:val="24"/>
                <w:szCs w:val="24"/>
                <w:lang w:val="en-US" w:eastAsia="zh-CN"/>
              </w:rPr>
              <w:t>按合同规定支付</w:t>
            </w:r>
            <w:r>
              <w:rPr>
                <w:rFonts w:hint="eastAsia" w:ascii="仿宋_GB2312" w:eastAsia="仿宋_GB2312" w:cs="Times New Roman"/>
                <w:sz w:val="24"/>
                <w:szCs w:val="24"/>
                <w:lang w:val="en-US" w:eastAsia="zh-CN"/>
              </w:rPr>
              <w:t>的凭证。</w:t>
            </w:r>
            <w:r>
              <w:rPr>
                <w:rFonts w:hint="eastAsia" w:ascii="仿宋_GB2312" w:hAnsi="Times New Roman" w:eastAsia="仿宋_GB2312" w:cs="Times New Roman"/>
                <w:sz w:val="24"/>
                <w:szCs w:val="24"/>
                <w:lang w:val="en-US" w:eastAsia="zh-CN"/>
              </w:rPr>
              <w:t>得3分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A91DDC9">
            <w:pPr>
              <w:widowControl/>
              <w:spacing w:line="32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val="en-US" w:eastAsia="zh-CN"/>
              </w:rPr>
              <w:t>3</w:t>
            </w:r>
          </w:p>
        </w:tc>
      </w:tr>
      <w:tr w14:paraId="03427B64">
        <w:tblPrEx>
          <w:tblCellMar>
            <w:top w:w="0" w:type="dxa"/>
            <w:left w:w="0" w:type="dxa"/>
            <w:bottom w:w="0" w:type="dxa"/>
            <w:right w:w="0" w:type="dxa"/>
          </w:tblCellMar>
        </w:tblPrEx>
        <w:trPr>
          <w:trHeight w:val="108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46BB54D5">
            <w:pPr>
              <w:widowControl/>
              <w:jc w:val="left"/>
              <w:rPr>
                <w:rFonts w:hint="eastAsia" w:ascii="仿宋" w:hAnsi="仿宋" w:eastAsia="仿宋" w:cs="仿宋"/>
                <w:kern w:val="0"/>
                <w:sz w:val="24"/>
                <w:szCs w:val="24"/>
              </w:rPr>
            </w:pPr>
          </w:p>
        </w:tc>
        <w:tc>
          <w:tcPr>
            <w:tcW w:w="732" w:type="dxa"/>
            <w:vMerge w:val="continue"/>
            <w:tcBorders>
              <w:left w:val="nil"/>
              <w:right w:val="single" w:color="000000" w:sz="8" w:space="0"/>
            </w:tcBorders>
            <w:shd w:val="clear" w:color="auto" w:fill="auto"/>
            <w:noWrap w:val="0"/>
            <w:vAlign w:val="center"/>
          </w:tcPr>
          <w:p w14:paraId="77D7992A">
            <w:pPr>
              <w:widowControl/>
              <w:jc w:val="left"/>
              <w:rPr>
                <w:rFonts w:hint="eastAsia" w:ascii="仿宋" w:hAnsi="仿宋" w:eastAsia="仿宋" w:cs="仿宋"/>
                <w:kern w:val="0"/>
                <w:sz w:val="24"/>
                <w:szCs w:val="24"/>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9E8942C">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绩效自评内容完整性（4分）</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62257AF">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绩效自评是否根据要求进行评价</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53DD87F">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绩效自评内容不完整，不细化</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A6B04EF">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w:t>
            </w:r>
          </w:p>
        </w:tc>
      </w:tr>
      <w:tr w14:paraId="315D695A">
        <w:tblPrEx>
          <w:tblCellMar>
            <w:top w:w="0" w:type="dxa"/>
            <w:left w:w="0" w:type="dxa"/>
            <w:bottom w:w="0" w:type="dxa"/>
            <w:right w:w="0" w:type="dxa"/>
          </w:tblCellMar>
        </w:tblPrEx>
        <w:trPr>
          <w:trHeight w:val="108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2A778D9B">
            <w:pPr>
              <w:widowControl/>
              <w:jc w:val="left"/>
              <w:rPr>
                <w:rFonts w:hint="eastAsia" w:ascii="仿宋" w:hAnsi="仿宋" w:eastAsia="仿宋" w:cs="仿宋"/>
                <w:kern w:val="0"/>
                <w:sz w:val="24"/>
                <w:szCs w:val="24"/>
              </w:rPr>
            </w:pPr>
          </w:p>
        </w:tc>
        <w:tc>
          <w:tcPr>
            <w:tcW w:w="732" w:type="dxa"/>
            <w:vMerge w:val="continue"/>
            <w:tcBorders>
              <w:left w:val="nil"/>
              <w:bottom w:val="single" w:color="000000" w:sz="8" w:space="0"/>
              <w:right w:val="single" w:color="000000" w:sz="8" w:space="0"/>
            </w:tcBorders>
            <w:shd w:val="clear" w:color="auto" w:fill="auto"/>
            <w:noWrap w:val="0"/>
            <w:vAlign w:val="center"/>
          </w:tcPr>
          <w:p w14:paraId="1D96AC87">
            <w:pPr>
              <w:widowControl/>
              <w:jc w:val="left"/>
              <w:rPr>
                <w:rFonts w:hint="eastAsia" w:ascii="仿宋" w:hAnsi="仿宋" w:eastAsia="仿宋" w:cs="仿宋"/>
                <w:kern w:val="0"/>
                <w:sz w:val="24"/>
                <w:szCs w:val="24"/>
              </w:rPr>
            </w:pP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ADC5A42">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绩效自评结论真实性（4分）</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813A41">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绩效自评是否与结论一致</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BE4E335">
            <w:pPr>
              <w:widowControl/>
              <w:spacing w:line="32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项目资金投入自评结论与实际数据一致，其他指标设置不明确、不规范，自评结论未能真实准确反映项目实际完成情况</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818B5A7">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w:t>
            </w:r>
          </w:p>
        </w:tc>
      </w:tr>
      <w:tr w14:paraId="5BDC1265">
        <w:tblPrEx>
          <w:tblCellMar>
            <w:top w:w="0" w:type="dxa"/>
            <w:left w:w="0" w:type="dxa"/>
            <w:bottom w:w="0" w:type="dxa"/>
            <w:right w:w="0" w:type="dxa"/>
          </w:tblCellMar>
        </w:tblPrEx>
        <w:trPr>
          <w:trHeight w:val="532" w:hRule="atLeast"/>
          <w:jc w:val="center"/>
        </w:trPr>
        <w:tc>
          <w:tcPr>
            <w:tcW w:w="760"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17505ADD">
            <w:pPr>
              <w:widowControl/>
              <w:jc w:val="left"/>
              <w:rPr>
                <w:rFonts w:hint="eastAsia" w:ascii="仿宋" w:hAnsi="仿宋" w:eastAsia="仿宋" w:cs="仿宋"/>
                <w:kern w:val="0"/>
                <w:sz w:val="24"/>
                <w:szCs w:val="24"/>
              </w:rPr>
            </w:pPr>
          </w:p>
        </w:tc>
        <w:tc>
          <w:tcPr>
            <w:tcW w:w="732"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965BEC5">
            <w:pPr>
              <w:widowControl/>
              <w:spacing w:line="32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rPr>
              <w:t>组织实施</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4分</w:t>
            </w:r>
            <w:r>
              <w:rPr>
                <w:rFonts w:hint="eastAsia" w:ascii="仿宋_GB2312" w:hAnsi="Times New Roman" w:eastAsia="仿宋_GB2312" w:cs="Times New Roman"/>
                <w:sz w:val="24"/>
                <w:szCs w:val="24"/>
                <w:lang w:eastAsia="zh-CN"/>
              </w:rPr>
              <w:t>）</w:t>
            </w:r>
          </w:p>
          <w:p w14:paraId="2DF12178">
            <w:pPr>
              <w:widowControl/>
              <w:spacing w:line="320" w:lineRule="atLeast"/>
              <w:jc w:val="center"/>
              <w:rPr>
                <w:rFonts w:hint="eastAsia" w:ascii="仿宋" w:hAnsi="仿宋" w:eastAsia="仿宋" w:cs="仿宋"/>
                <w:kern w:val="0"/>
                <w:sz w:val="24"/>
                <w:szCs w:val="24"/>
              </w:rPr>
            </w:pPr>
            <w:r>
              <w:rPr>
                <w:rFonts w:hint="eastAsia" w:ascii="仿宋" w:hAnsi="仿宋" w:eastAsia="仿宋" w:cs="仿宋"/>
                <w:color w:val="000000"/>
                <w:kern w:val="0"/>
                <w:sz w:val="24"/>
                <w:szCs w:val="24"/>
              </w:rPr>
              <w:t>　</w:t>
            </w:r>
          </w:p>
        </w:tc>
        <w:tc>
          <w:tcPr>
            <w:tcW w:w="121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2A5971">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管理制度</w:t>
            </w:r>
          </w:p>
          <w:p w14:paraId="5B3E6888">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健全性</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4分</w:t>
            </w:r>
            <w:r>
              <w:rPr>
                <w:rFonts w:hint="eastAsia" w:ascii="仿宋_GB2312" w:hAnsi="Times New Roman" w:eastAsia="仿宋_GB2312" w:cs="Times New Roman"/>
                <w:sz w:val="24"/>
                <w:szCs w:val="24"/>
                <w:lang w:eastAsia="zh-CN"/>
              </w:rPr>
              <w:t>）</w:t>
            </w:r>
          </w:p>
        </w:tc>
        <w:tc>
          <w:tcPr>
            <w:tcW w:w="2438"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939CBEB">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项目实施单位的财务和业务管理制度是否健全，用以反映和考核财务和业务管理制度对项目顺利实施的保障情况。</w:t>
            </w:r>
          </w:p>
        </w:tc>
        <w:tc>
          <w:tcPr>
            <w:tcW w:w="243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620E7F">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主管部门提供财务与业务管理制度。得4分</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1EBC4F5">
            <w:pPr>
              <w:widowControl/>
              <w:spacing w:line="32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4</w:t>
            </w:r>
          </w:p>
        </w:tc>
      </w:tr>
      <w:tr w14:paraId="7F49114E">
        <w:tblPrEx>
          <w:tblCellMar>
            <w:top w:w="0" w:type="dxa"/>
            <w:left w:w="0" w:type="dxa"/>
            <w:bottom w:w="0" w:type="dxa"/>
            <w:right w:w="0" w:type="dxa"/>
          </w:tblCellMar>
        </w:tblPrEx>
        <w:trPr>
          <w:trHeight w:val="542" w:hRule="atLeast"/>
          <w:jc w:val="center"/>
        </w:trPr>
        <w:tc>
          <w:tcPr>
            <w:tcW w:w="7584" w:type="dxa"/>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669B7B8">
            <w:pPr>
              <w:widowControl/>
              <w:spacing w:line="32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小计</w:t>
            </w:r>
          </w:p>
        </w:tc>
        <w:tc>
          <w:tcPr>
            <w:tcW w:w="1341"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06C431D">
            <w:pPr>
              <w:widowControl/>
              <w:spacing w:line="32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21</w:t>
            </w:r>
          </w:p>
        </w:tc>
      </w:tr>
    </w:tbl>
    <w:p w14:paraId="52AECBEC">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1.资金到位率</w:t>
      </w:r>
    </w:p>
    <w:p w14:paraId="2E3DB93E">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指标解释：实际到位资金与预算资金的比例，用以反映和考核资金落实情况对项目实施的总体保障程度。</w:t>
      </w:r>
    </w:p>
    <w:p w14:paraId="169A65A2">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评分情况：怀远县财政局</w:t>
      </w:r>
      <w:r>
        <w:rPr>
          <w:rFonts w:hint="eastAsia" w:ascii="仿宋_GB2312" w:eastAsia="仿宋_GB2312" w:cs="Times New Roman"/>
          <w:sz w:val="24"/>
          <w:szCs w:val="24"/>
          <w:lang w:val="en-US" w:eastAsia="zh-CN"/>
        </w:rPr>
        <w:t>根据文件规定拨付</w:t>
      </w:r>
      <w:r>
        <w:rPr>
          <w:rFonts w:hint="eastAsia" w:ascii="仿宋_GB2312" w:hAnsi="Times New Roman" w:eastAsia="仿宋_GB2312" w:cs="Times New Roman"/>
          <w:sz w:val="24"/>
          <w:szCs w:val="24"/>
          <w:lang w:val="en-US" w:eastAsia="zh-CN"/>
        </w:rPr>
        <w:t>2023年度县管堤防及涵闸运管经费项目支出</w:t>
      </w:r>
      <w:r>
        <w:rPr>
          <w:rFonts w:hint="eastAsia" w:ascii="仿宋_GB2312" w:eastAsia="仿宋_GB2312" w:cs="Times New Roman"/>
          <w:sz w:val="24"/>
          <w:szCs w:val="24"/>
          <w:lang w:val="en-US" w:eastAsia="zh-CN"/>
        </w:rPr>
        <w:t>资金132.8万元。</w:t>
      </w:r>
      <w:r>
        <w:rPr>
          <w:rFonts w:hint="eastAsia" w:ascii="仿宋_GB2312" w:hAnsi="Times New Roman" w:eastAsia="仿宋_GB2312" w:cs="Times New Roman"/>
          <w:sz w:val="24"/>
          <w:szCs w:val="24"/>
        </w:rPr>
        <w:t>资金到位率为 100%。根据评价标准，该项满分</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分，得分率100.00%。</w:t>
      </w:r>
    </w:p>
    <w:p w14:paraId="0A8AE7AE">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2.资金拨付及时性</w:t>
      </w:r>
    </w:p>
    <w:p w14:paraId="3AC198FD">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指标解释：项目资金是否按照依法依规及时拨付，用以反映和考核项目资金拨付时效情况。</w:t>
      </w:r>
    </w:p>
    <w:p w14:paraId="71028EDE">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评分情况：怀远县财政局及时拨付，无滞后现象，</w:t>
      </w:r>
      <w:r>
        <w:rPr>
          <w:rFonts w:hint="eastAsia" w:ascii="仿宋_GB2312" w:eastAsia="仿宋_GB2312" w:cs="Times New Roman"/>
          <w:sz w:val="24"/>
          <w:szCs w:val="24"/>
          <w:lang w:val="en-US" w:eastAsia="zh-CN"/>
        </w:rPr>
        <w:t>但水利局转给怀远淮河河道管理局等三家单位，没能提供转账凭证，无法判断及时性。</w:t>
      </w:r>
      <w:r>
        <w:rPr>
          <w:rFonts w:hint="eastAsia" w:ascii="仿宋_GB2312" w:hAnsi="Times New Roman" w:eastAsia="仿宋_GB2312" w:cs="Times New Roman"/>
          <w:sz w:val="24"/>
          <w:szCs w:val="24"/>
        </w:rPr>
        <w:t>根据评价标准，该项满分</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分，得2分，得分率</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0.00%。</w:t>
      </w:r>
    </w:p>
    <w:p w14:paraId="54E168D4">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3.预算执行率</w:t>
      </w:r>
    </w:p>
    <w:p w14:paraId="1204F4C8">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指标解释：项目预算资金是否按照计划执行，用以反映或考核项目预算执行情况。</w:t>
      </w:r>
    </w:p>
    <w:p w14:paraId="56EFC460">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 县</w:t>
      </w:r>
      <w:r>
        <w:rPr>
          <w:rFonts w:hint="eastAsia" w:ascii="仿宋_GB2312" w:eastAsia="仿宋_GB2312" w:cs="Times New Roman"/>
          <w:sz w:val="24"/>
          <w:szCs w:val="24"/>
          <w:lang w:val="en-US" w:eastAsia="zh-CN"/>
        </w:rPr>
        <w:t>水利局</w:t>
      </w:r>
      <w:r>
        <w:rPr>
          <w:rFonts w:hint="eastAsia" w:ascii="仿宋_GB2312" w:hAnsi="Times New Roman" w:eastAsia="仿宋_GB2312" w:cs="Times New Roman"/>
          <w:sz w:val="24"/>
          <w:szCs w:val="24"/>
          <w:lang w:val="en-US" w:eastAsia="zh-CN"/>
        </w:rPr>
        <w:t>2023年度县管堤防及涵闸运管经费项目</w:t>
      </w:r>
      <w:r>
        <w:rPr>
          <w:rFonts w:hint="eastAsia" w:ascii="仿宋_GB2312" w:hAnsi="Times New Roman" w:eastAsia="仿宋_GB2312" w:cs="Times New Roman"/>
          <w:sz w:val="24"/>
          <w:szCs w:val="24"/>
        </w:rPr>
        <w:t>预算金额</w:t>
      </w:r>
      <w:r>
        <w:rPr>
          <w:rFonts w:hint="eastAsia" w:ascii="仿宋_GB2312" w:eastAsia="仿宋_GB2312" w:cs="Times New Roman"/>
          <w:sz w:val="24"/>
          <w:szCs w:val="24"/>
          <w:lang w:val="en-US" w:eastAsia="zh-CN"/>
        </w:rPr>
        <w:t>120</w:t>
      </w:r>
      <w:r>
        <w:rPr>
          <w:rFonts w:hint="eastAsia" w:ascii="仿宋_GB2312" w:hAnsi="Times New Roman" w:eastAsia="仿宋_GB2312" w:cs="Times New Roman"/>
          <w:sz w:val="24"/>
          <w:szCs w:val="24"/>
        </w:rPr>
        <w:t>万元，</w:t>
      </w:r>
      <w:r>
        <w:rPr>
          <w:rFonts w:hint="eastAsia" w:ascii="仿宋_GB2312" w:eastAsia="仿宋_GB2312" w:cs="Times New Roman"/>
          <w:sz w:val="24"/>
          <w:szCs w:val="24"/>
          <w:lang w:val="en-US" w:eastAsia="zh-CN"/>
        </w:rPr>
        <w:t>追加预算12.8万。</w:t>
      </w:r>
      <w:r>
        <w:rPr>
          <w:rFonts w:hint="eastAsia" w:ascii="仿宋_GB2312" w:hAnsi="Times New Roman" w:eastAsia="仿宋_GB2312" w:cs="Times New Roman"/>
          <w:sz w:val="24"/>
          <w:szCs w:val="24"/>
        </w:rPr>
        <w:t>预算执行率100.00%。根据评价标准，该项满分</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分，得分率100.00%。</w:t>
      </w:r>
    </w:p>
    <w:p w14:paraId="3578825A">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4.资金使用合规性</w:t>
      </w:r>
    </w:p>
    <w:p w14:paraId="46F4AAD3">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指标解释：项目资金使用是否符合相关的财务管理制度规定，用以反映和考核项目资金的规范运行情况。</w:t>
      </w:r>
    </w:p>
    <w:p w14:paraId="72FA5AEA">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评分情况：资金使用符合相关财务制度的规定，审批程序和手续</w:t>
      </w:r>
      <w:r>
        <w:rPr>
          <w:rFonts w:hint="eastAsia" w:ascii="仿宋_GB2312" w:eastAsia="仿宋_GB2312" w:cs="Times New Roman"/>
          <w:sz w:val="24"/>
          <w:szCs w:val="24"/>
          <w:lang w:val="en-US" w:eastAsia="zh-CN"/>
        </w:rPr>
        <w:t>较</w:t>
      </w:r>
      <w:r>
        <w:rPr>
          <w:rFonts w:hint="eastAsia" w:ascii="仿宋_GB2312" w:hAnsi="Times New Roman" w:eastAsia="仿宋_GB2312" w:cs="Times New Roman"/>
          <w:sz w:val="24"/>
          <w:szCs w:val="24"/>
        </w:rPr>
        <w:t>完整，能够做到专款专用，未发现截留、挤占、挪用、虚列开支等情况。</w:t>
      </w:r>
      <w:r>
        <w:rPr>
          <w:rFonts w:hint="eastAsia" w:ascii="仿宋_GB2312" w:eastAsia="仿宋_GB2312" w:cs="Times New Roman"/>
          <w:sz w:val="24"/>
          <w:szCs w:val="24"/>
          <w:lang w:val="en-US" w:eastAsia="zh-CN"/>
        </w:rPr>
        <w:t>但报销单据上没有财务审核人员签字确认。</w:t>
      </w:r>
      <w:r>
        <w:rPr>
          <w:rFonts w:hint="eastAsia" w:ascii="仿宋_GB2312" w:hAnsi="Times New Roman" w:eastAsia="仿宋_GB2312" w:cs="Times New Roman"/>
          <w:sz w:val="24"/>
          <w:szCs w:val="24"/>
        </w:rPr>
        <w:t>该项指标满分4分，得</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75</w:t>
      </w:r>
      <w:r>
        <w:rPr>
          <w:rFonts w:hint="eastAsia" w:ascii="仿宋_GB2312" w:hAnsi="Times New Roman" w:eastAsia="仿宋_GB2312" w:cs="Times New Roman"/>
          <w:sz w:val="24"/>
          <w:szCs w:val="24"/>
        </w:rPr>
        <w:t>%。</w:t>
      </w:r>
    </w:p>
    <w:p w14:paraId="7FFF7153">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5.绩效自评内容准确完整性</w:t>
      </w:r>
    </w:p>
    <w:p w14:paraId="05B604E6">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指标解释：是否对设定的绩效目标指标值均进行了绩效自评，相关数据填写是否规范。</w:t>
      </w:r>
    </w:p>
    <w:p w14:paraId="4113A223">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评分情况：县</w:t>
      </w:r>
      <w:r>
        <w:rPr>
          <w:rFonts w:hint="eastAsia" w:ascii="仿宋_GB2312" w:eastAsia="仿宋_GB2312" w:cs="Times New Roman"/>
          <w:sz w:val="24"/>
          <w:szCs w:val="24"/>
          <w:lang w:val="en-US" w:eastAsia="zh-CN"/>
        </w:rPr>
        <w:t>水利局</w:t>
      </w:r>
      <w:r>
        <w:rPr>
          <w:rFonts w:hint="eastAsia" w:ascii="仿宋_GB2312" w:hAnsi="Times New Roman" w:eastAsia="仿宋_GB2312" w:cs="Times New Roman"/>
          <w:sz w:val="24"/>
          <w:szCs w:val="24"/>
        </w:rPr>
        <w:t>根据设定的绩效目标进行了绩效自评，但由于指标设定不完整，细化、量化程度不高，实际完成值数据填写不规范，笼统地写为“效果显著</w:t>
      </w:r>
      <w:r>
        <w:rPr>
          <w:rFonts w:hint="eastAsia" w:ascii="仿宋_GB2312" w:eastAsia="仿宋_GB2312" w:cs="Times New Roman"/>
          <w:sz w:val="24"/>
          <w:szCs w:val="24"/>
          <w:lang w:eastAsia="zh-CN"/>
        </w:rPr>
        <w:t>、安全正常运行</w:t>
      </w:r>
      <w:r>
        <w:rPr>
          <w:rFonts w:hint="eastAsia" w:ascii="仿宋_GB2312" w:hAnsi="Times New Roman" w:eastAsia="仿宋_GB2312" w:cs="Times New Roman"/>
          <w:sz w:val="24"/>
          <w:szCs w:val="24"/>
        </w:rPr>
        <w:t>”</w:t>
      </w:r>
      <w:r>
        <w:rPr>
          <w:rFonts w:hint="eastAsia" w:ascii="仿宋_GB2312" w:eastAsia="仿宋_GB2312" w:cs="Times New Roman"/>
          <w:sz w:val="24"/>
          <w:szCs w:val="24"/>
          <w:lang w:val="en-US" w:eastAsia="zh-CN"/>
        </w:rPr>
        <w:t>等</w:t>
      </w:r>
      <w:r>
        <w:rPr>
          <w:rFonts w:hint="eastAsia" w:ascii="仿宋_GB2312" w:hAnsi="Times New Roman" w:eastAsia="仿宋_GB2312" w:cs="Times New Roman"/>
          <w:sz w:val="24"/>
          <w:szCs w:val="24"/>
        </w:rPr>
        <w:t>。该项指标满分</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0.00%。</w:t>
      </w:r>
    </w:p>
    <w:p w14:paraId="72D4D6B3">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6.绩效自评结论真实性</w:t>
      </w:r>
    </w:p>
    <w:p w14:paraId="5CCF5F9B">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指标解释：绩效自评结论是否与实际数据一致。</w:t>
      </w:r>
    </w:p>
    <w:p w14:paraId="60BC4788">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评分情况：项目资金投入自评结论与实际数据一致，其他指标设置不明确、</w:t>
      </w:r>
      <w:r>
        <w:rPr>
          <w:rFonts w:hint="eastAsia" w:ascii="仿宋_GB2312" w:eastAsia="仿宋_GB2312" w:cs="Times New Roman"/>
          <w:sz w:val="24"/>
          <w:szCs w:val="24"/>
          <w:lang w:val="en-US" w:eastAsia="zh-CN"/>
        </w:rPr>
        <w:t xml:space="preserve">  </w:t>
      </w:r>
      <w:r>
        <w:rPr>
          <w:rFonts w:hint="eastAsia" w:ascii="仿宋_GB2312" w:hAnsi="Times New Roman" w:eastAsia="仿宋_GB2312" w:cs="Times New Roman"/>
          <w:sz w:val="24"/>
          <w:szCs w:val="24"/>
        </w:rPr>
        <w:t>不规范，自评结论未能真实准确反映项目实际完成情况。该项指标满分</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0.00%。</w:t>
      </w:r>
    </w:p>
    <w:p w14:paraId="0898F6D7">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7.管理制度健全性</w:t>
      </w:r>
    </w:p>
    <w:p w14:paraId="537870F8">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指标解释：项目实施单位的财务和业务管理制度是否健全，用以反映和考核财务和业务管理制度对项目顺利实施的保障情况。</w:t>
      </w:r>
    </w:p>
    <w:p w14:paraId="576654DF">
      <w:pPr>
        <w:spacing w:line="560" w:lineRule="exact"/>
        <w:ind w:firstLine="480" w:firstLineChars="200"/>
        <w:rPr>
          <w:rFonts w:ascii="仿宋_GB2312" w:hAnsi="Times New Roman" w:eastAsia="仿宋_GB2312" w:cs="Times New Roman"/>
          <w:sz w:val="24"/>
          <w:szCs w:val="24"/>
          <w:highlight w:val="yellow"/>
        </w:rPr>
      </w:pPr>
      <w:r>
        <w:rPr>
          <w:rFonts w:hint="eastAsia" w:ascii="仿宋_GB2312" w:hAnsi="Times New Roman" w:eastAsia="仿宋_GB2312" w:cs="Times New Roman"/>
          <w:sz w:val="24"/>
          <w:szCs w:val="24"/>
        </w:rPr>
        <w:t>评分情况：管理制度健全，有完善的内控制度、收支业务管理制度、合同管理办法、预算管理制度。该项指标满分4分，得4分，得分率100.00%。</w:t>
      </w:r>
    </w:p>
    <w:p w14:paraId="0F63C54B">
      <w:pPr>
        <w:spacing w:line="560" w:lineRule="exact"/>
        <w:ind w:firstLine="240" w:firstLineChars="100"/>
        <w:outlineLvl w:val="1"/>
        <w:rPr>
          <w:rFonts w:ascii="楷体_GB2312" w:hAnsi="Times New Roman" w:eastAsia="楷体_GB2312" w:cs="Times New Roman"/>
          <w:sz w:val="24"/>
          <w:szCs w:val="24"/>
        </w:rPr>
      </w:pPr>
      <w:bookmarkStart w:id="27" w:name="_Toc14450"/>
      <w:r>
        <w:rPr>
          <w:rFonts w:hint="eastAsia" w:ascii="楷体_GB2312" w:hAnsi="Times New Roman" w:eastAsia="楷体_GB2312" w:cs="Times New Roman"/>
          <w:sz w:val="24"/>
          <w:szCs w:val="24"/>
        </w:rPr>
        <w:t>（三）项目产出情况</w:t>
      </w:r>
      <w:bookmarkEnd w:id="27"/>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满分2</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lang w:val="en-US" w:eastAsia="zh-CN"/>
        </w:rPr>
        <w:t>分，实得</w:t>
      </w:r>
      <w:r>
        <w:rPr>
          <w:rFonts w:hint="eastAsia" w:ascii="仿宋_GB2312" w:eastAsia="仿宋_GB2312" w:cs="Times New Roman"/>
          <w:sz w:val="24"/>
          <w:szCs w:val="24"/>
          <w:lang w:val="en-US" w:eastAsia="zh-CN"/>
        </w:rPr>
        <w:t>16</w:t>
      </w:r>
      <w:r>
        <w:rPr>
          <w:rFonts w:hint="eastAsia" w:ascii="仿宋_GB2312" w:hAnsi="Times New Roman" w:eastAsia="仿宋_GB2312" w:cs="Times New Roman"/>
          <w:sz w:val="24"/>
          <w:szCs w:val="24"/>
          <w:lang w:val="en-US" w:eastAsia="zh-CN"/>
        </w:rPr>
        <w:t>分</w:t>
      </w:r>
      <w:r>
        <w:rPr>
          <w:rFonts w:hint="eastAsia" w:ascii="仿宋_GB2312" w:hAnsi="Times New Roman" w:eastAsia="仿宋_GB2312" w:cs="Times New Roman"/>
          <w:sz w:val="24"/>
          <w:szCs w:val="24"/>
          <w:lang w:eastAsia="zh-CN"/>
        </w:rPr>
        <w:t>）</w:t>
      </w:r>
    </w:p>
    <w:p w14:paraId="437A1366">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项目产出的评价指标包括产出数量、产出质量、产出时效、产出成本四项二级指标，共涉及荆山湖和汤渔湖行洪堤、新淝河堤防、四方湖引河堤防等委托怀远县淮河河道管理局代管的县管堤防日常运行维护工作</w:t>
      </w:r>
      <w:r>
        <w:rPr>
          <w:rFonts w:hint="eastAsia" w:ascii="仿宋_GB2312" w:eastAsia="仿宋_GB2312" w:cs="Times New Roman"/>
          <w:sz w:val="24"/>
          <w:szCs w:val="24"/>
          <w:lang w:val="en-US" w:eastAsia="zh-CN"/>
        </w:rPr>
        <w:t>及人员工资管理。</w:t>
      </w:r>
      <w:r>
        <w:rPr>
          <w:rFonts w:hint="eastAsia" w:ascii="仿宋_GB2312" w:hAnsi="Times New Roman" w:eastAsia="仿宋_GB2312" w:cs="Times New Roman"/>
          <w:sz w:val="24"/>
          <w:szCs w:val="24"/>
        </w:rPr>
        <w:t>各项任务完成及时性、预算</w:t>
      </w:r>
      <w:r>
        <w:rPr>
          <w:rFonts w:hint="eastAsia" w:ascii="仿宋_GB2312" w:hAnsi="Times New Roman" w:eastAsia="仿宋_GB2312" w:cs="Times New Roman"/>
          <w:sz w:val="24"/>
          <w:szCs w:val="24"/>
          <w:lang w:eastAsia="zh-CN"/>
        </w:rPr>
        <w:t>控制</w:t>
      </w:r>
      <w:r>
        <w:rPr>
          <w:rFonts w:hint="eastAsia" w:ascii="仿宋_GB2312" w:hAnsi="Times New Roman" w:eastAsia="仿宋_GB2312" w:cs="Times New Roman"/>
          <w:sz w:val="24"/>
          <w:szCs w:val="24"/>
        </w:rPr>
        <w:t>率4个三级指标。“项目产出”总分2</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rPr>
        <w:t>分，得分</w:t>
      </w:r>
      <w:r>
        <w:rPr>
          <w:rFonts w:hint="eastAsia" w:ascii="仿宋_GB2312" w:eastAsia="仿宋_GB2312" w:cs="Times New Roman"/>
          <w:sz w:val="24"/>
          <w:szCs w:val="24"/>
          <w:lang w:val="en-US" w:eastAsia="zh-CN"/>
        </w:rPr>
        <w:t>16</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72.73</w:t>
      </w:r>
      <w:r>
        <w:rPr>
          <w:rFonts w:hint="eastAsia" w:ascii="仿宋_GB2312" w:hAnsi="Times New Roman" w:eastAsia="仿宋_GB2312" w:cs="Times New Roman"/>
          <w:sz w:val="24"/>
          <w:szCs w:val="24"/>
        </w:rPr>
        <w:t>%。</w:t>
      </w:r>
    </w:p>
    <w:p w14:paraId="15263688">
      <w:pPr>
        <w:spacing w:line="560" w:lineRule="exact"/>
        <w:ind w:firstLine="480" w:firstLineChars="200"/>
        <w:rPr>
          <w:rFonts w:hint="eastAsia" w:ascii="仿宋_GB2312" w:hAnsi="Times New Roman" w:eastAsia="仿宋_GB2312" w:cs="Times New Roman"/>
          <w:sz w:val="24"/>
          <w:szCs w:val="24"/>
        </w:rPr>
      </w:pPr>
    </w:p>
    <w:tbl>
      <w:tblPr>
        <w:tblStyle w:val="8"/>
        <w:tblW w:w="8925" w:type="dxa"/>
        <w:jc w:val="center"/>
        <w:tblLayout w:type="autofit"/>
        <w:tblCellMar>
          <w:top w:w="0" w:type="dxa"/>
          <w:left w:w="0" w:type="dxa"/>
          <w:bottom w:w="0" w:type="dxa"/>
          <w:right w:w="0" w:type="dxa"/>
        </w:tblCellMar>
      </w:tblPr>
      <w:tblGrid>
        <w:gridCol w:w="751"/>
        <w:gridCol w:w="973"/>
        <w:gridCol w:w="2207"/>
        <w:gridCol w:w="1963"/>
        <w:gridCol w:w="2356"/>
        <w:gridCol w:w="675"/>
      </w:tblGrid>
      <w:tr w14:paraId="659D19C0">
        <w:tblPrEx>
          <w:tblCellMar>
            <w:top w:w="0" w:type="dxa"/>
            <w:left w:w="0" w:type="dxa"/>
            <w:bottom w:w="0" w:type="dxa"/>
            <w:right w:w="0" w:type="dxa"/>
          </w:tblCellMar>
        </w:tblPrEx>
        <w:trPr>
          <w:trHeight w:val="90" w:hRule="atLeast"/>
          <w:jc w:val="center"/>
        </w:trPr>
        <w:tc>
          <w:tcPr>
            <w:tcW w:w="751"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C780752">
            <w:pPr>
              <w:widowControl/>
              <w:spacing w:line="9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rPr>
              <w:t>一级指标</w:t>
            </w:r>
          </w:p>
        </w:tc>
        <w:tc>
          <w:tcPr>
            <w:tcW w:w="973"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CDA99E8">
            <w:pPr>
              <w:widowControl/>
              <w:spacing w:line="9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rPr>
              <w:t>二级指标</w:t>
            </w:r>
          </w:p>
        </w:tc>
        <w:tc>
          <w:tcPr>
            <w:tcW w:w="2207"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3F6D272">
            <w:pPr>
              <w:widowControl/>
              <w:spacing w:line="9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rPr>
              <w:t>三级指标</w:t>
            </w:r>
          </w:p>
        </w:tc>
        <w:tc>
          <w:tcPr>
            <w:tcW w:w="1963"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E5477F">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指标内容</w:t>
            </w:r>
          </w:p>
        </w:tc>
        <w:tc>
          <w:tcPr>
            <w:tcW w:w="2356"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FBBD8FA">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评价情况</w:t>
            </w:r>
          </w:p>
        </w:tc>
        <w:tc>
          <w:tcPr>
            <w:tcW w:w="675"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068007C">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分值</w:t>
            </w:r>
          </w:p>
        </w:tc>
      </w:tr>
      <w:tr w14:paraId="3A06F1CC">
        <w:tblPrEx>
          <w:tblCellMar>
            <w:top w:w="0" w:type="dxa"/>
            <w:left w:w="0" w:type="dxa"/>
            <w:bottom w:w="0" w:type="dxa"/>
            <w:right w:w="0" w:type="dxa"/>
          </w:tblCellMar>
        </w:tblPrEx>
        <w:trPr>
          <w:trHeight w:val="1067" w:hRule="atLeast"/>
          <w:jc w:val="center"/>
        </w:trPr>
        <w:tc>
          <w:tcPr>
            <w:tcW w:w="751" w:type="dxa"/>
            <w:vMerge w:val="restart"/>
            <w:tcBorders>
              <w:top w:val="nil"/>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71788F6">
            <w:pPr>
              <w:widowControl/>
              <w:spacing w:line="320" w:lineRule="atLeast"/>
              <w:jc w:val="center"/>
              <w:rPr>
                <w:rFonts w:hint="eastAsia" w:ascii="仿宋" w:hAnsi="仿宋" w:eastAsia="仿宋" w:cs="仿宋"/>
                <w:kern w:val="0"/>
                <w:sz w:val="24"/>
                <w:szCs w:val="24"/>
                <w:lang w:eastAsia="zh-CN"/>
              </w:rPr>
            </w:pPr>
            <w:r>
              <w:rPr>
                <w:rFonts w:hint="eastAsia" w:ascii="仿宋_GB2312" w:hAnsi="Times New Roman" w:eastAsia="仿宋_GB2312" w:cs="Times New Roman"/>
                <w:sz w:val="24"/>
                <w:szCs w:val="24"/>
              </w:rPr>
              <w:t>产出指标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满分22</w:t>
            </w:r>
            <w:r>
              <w:rPr>
                <w:rFonts w:hint="eastAsia" w:ascii="仿宋_GB2312" w:hAnsi="Times New Roman" w:eastAsia="仿宋_GB2312" w:cs="Times New Roman"/>
                <w:sz w:val="24"/>
                <w:szCs w:val="24"/>
                <w:lang w:eastAsia="zh-CN"/>
              </w:rPr>
              <w:t>）</w:t>
            </w:r>
          </w:p>
        </w:tc>
        <w:tc>
          <w:tcPr>
            <w:tcW w:w="97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ADBA226">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数量指标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6分）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4F9FE3D">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水利工程维修养护数量</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095DF14">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这一指标涉及在项目执行期间实际进行维修养护的水利工程数量，包括但不限于堤防、涵闸等设施</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5EEC425">
            <w:pPr>
              <w:widowControl/>
              <w:spacing w:line="90" w:lineRule="atLeast"/>
              <w:jc w:val="center"/>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lang w:val="en-US" w:eastAsia="zh-CN"/>
              </w:rPr>
              <w:t>自评设定10处及以上，但在各项规定中都没提到这个指标。得4分</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D04DBE4">
            <w:pPr>
              <w:widowControl/>
              <w:spacing w:line="9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val="en-US" w:eastAsia="zh-CN"/>
              </w:rPr>
              <w:t>4</w:t>
            </w:r>
          </w:p>
        </w:tc>
      </w:tr>
      <w:tr w14:paraId="5799E6CA">
        <w:tblPrEx>
          <w:tblCellMar>
            <w:top w:w="0" w:type="dxa"/>
            <w:left w:w="0" w:type="dxa"/>
            <w:bottom w:w="0" w:type="dxa"/>
            <w:right w:w="0" w:type="dxa"/>
          </w:tblCellMar>
        </w:tblPrEx>
        <w:trPr>
          <w:trHeight w:val="960" w:hRule="atLeast"/>
          <w:jc w:val="center"/>
        </w:trPr>
        <w:tc>
          <w:tcPr>
            <w:tcW w:w="751"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3F3DB468">
            <w:pPr>
              <w:widowControl/>
              <w:jc w:val="left"/>
              <w:rPr>
                <w:rFonts w:hint="eastAsia" w:ascii="仿宋" w:hAnsi="仿宋" w:eastAsia="仿宋" w:cs="仿宋"/>
                <w:kern w:val="0"/>
                <w:sz w:val="24"/>
                <w:szCs w:val="24"/>
              </w:rPr>
            </w:pPr>
          </w:p>
        </w:tc>
        <w:tc>
          <w:tcPr>
            <w:tcW w:w="973" w:type="dxa"/>
            <w:vMerge w:val="restart"/>
            <w:tcBorders>
              <w:top w:val="nil"/>
              <w:left w:val="nil"/>
              <w:right w:val="single" w:color="000000" w:sz="8" w:space="0"/>
            </w:tcBorders>
            <w:shd w:val="clear" w:color="auto" w:fill="FFFFFF"/>
            <w:noWrap w:val="0"/>
            <w:tcMar>
              <w:top w:w="0" w:type="dxa"/>
              <w:left w:w="108" w:type="dxa"/>
              <w:bottom w:w="0" w:type="dxa"/>
              <w:right w:w="108" w:type="dxa"/>
            </w:tcMar>
            <w:vAlign w:val="center"/>
          </w:tcPr>
          <w:p w14:paraId="4B8F0AC1">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质量指标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6分）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EECFC53">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验收合格率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3分）</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AB26E9">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这一指标反映了维修养护工程的质量水平</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EEB42D8">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确保工程设施在维修养护后能够正常、安全地运行，各项指标及文件中没提到这项指标。得2分</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F975180">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2</w:t>
            </w:r>
          </w:p>
        </w:tc>
      </w:tr>
      <w:tr w14:paraId="2D9866A5">
        <w:tblPrEx>
          <w:tblCellMar>
            <w:top w:w="0" w:type="dxa"/>
            <w:left w:w="0" w:type="dxa"/>
            <w:bottom w:w="0" w:type="dxa"/>
            <w:right w:w="0" w:type="dxa"/>
          </w:tblCellMar>
        </w:tblPrEx>
        <w:trPr>
          <w:trHeight w:val="1917" w:hRule="atLeast"/>
          <w:jc w:val="center"/>
        </w:trPr>
        <w:tc>
          <w:tcPr>
            <w:tcW w:w="751" w:type="dxa"/>
            <w:vMerge w:val="continue"/>
            <w:tcBorders>
              <w:left w:val="single" w:color="000000" w:sz="8" w:space="0"/>
              <w:bottom w:val="single" w:color="000000" w:sz="8" w:space="0"/>
              <w:right w:val="single" w:color="000000" w:sz="8" w:space="0"/>
            </w:tcBorders>
            <w:shd w:val="clear" w:color="auto" w:fill="auto"/>
            <w:noWrap w:val="0"/>
            <w:vAlign w:val="center"/>
          </w:tcPr>
          <w:p w14:paraId="7788EDDE">
            <w:pPr>
              <w:widowControl/>
              <w:spacing w:line="320" w:lineRule="atLeast"/>
              <w:jc w:val="center"/>
            </w:pPr>
          </w:p>
        </w:tc>
        <w:tc>
          <w:tcPr>
            <w:tcW w:w="973" w:type="dxa"/>
            <w:vMerge w:val="continue"/>
            <w:tcBorders>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A635CD7">
            <w:pPr>
              <w:widowControl/>
              <w:spacing w:line="90" w:lineRule="atLeast"/>
              <w:jc w:val="center"/>
              <w:rPr>
                <w:rFonts w:hint="eastAsia" w:ascii="仿宋_GB2312" w:hAnsi="Times New Roman" w:eastAsia="仿宋_GB2312" w:cs="Times New Roman"/>
                <w:sz w:val="24"/>
                <w:szCs w:val="24"/>
              </w:rPr>
            </w:pP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F0063E2">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保障涵闸正常运转（3分）</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DA7A4C6">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确保涵闸等水利设施在维修养护后能够正常运转，发挥其应有的防洪、排涝等功能</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980B020">
            <w:pPr>
              <w:widowControl/>
              <w:spacing w:line="90" w:lineRule="atLeast"/>
              <w:jc w:val="center"/>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根据怀远淮河河道管理局、 怀远县机电排灌管理站、怀远县包集镇人民政府申请经费表中看到运行正常。合</w:t>
            </w:r>
          </w:p>
          <w:p w14:paraId="2C0DA91E">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格 。得3分</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12B8BE0">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3</w:t>
            </w:r>
          </w:p>
        </w:tc>
      </w:tr>
      <w:tr w14:paraId="332B5D7E">
        <w:tblPrEx>
          <w:tblCellMar>
            <w:top w:w="0" w:type="dxa"/>
            <w:left w:w="0" w:type="dxa"/>
            <w:bottom w:w="0" w:type="dxa"/>
            <w:right w:w="0" w:type="dxa"/>
          </w:tblCellMar>
        </w:tblPrEx>
        <w:trPr>
          <w:trHeight w:val="1276" w:hRule="atLeast"/>
          <w:jc w:val="center"/>
        </w:trPr>
        <w:tc>
          <w:tcPr>
            <w:tcW w:w="751"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0159CF01">
            <w:pPr>
              <w:widowControl/>
              <w:jc w:val="left"/>
              <w:rPr>
                <w:rFonts w:hint="eastAsia" w:ascii="仿宋" w:hAnsi="仿宋" w:eastAsia="仿宋" w:cs="仿宋"/>
                <w:kern w:val="0"/>
                <w:sz w:val="24"/>
                <w:szCs w:val="24"/>
              </w:rPr>
            </w:pPr>
          </w:p>
        </w:tc>
        <w:tc>
          <w:tcPr>
            <w:tcW w:w="97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55B974B">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时效指标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6分）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D7857CC">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各项指标完成及时率</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E806DA5">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经费支出的时效</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运营维护支时性，能确保涵闸等水利设施在维修养护中能</w:t>
            </w:r>
            <w:r>
              <w:rPr>
                <w:rFonts w:hint="eastAsia" w:ascii="仿宋_GB2312" w:hAnsi="Times New Roman" w:eastAsia="仿宋_GB2312" w:cs="Times New Roman"/>
                <w:sz w:val="24"/>
                <w:szCs w:val="24"/>
              </w:rPr>
              <w:t>及时</w:t>
            </w:r>
            <w:r>
              <w:rPr>
                <w:rFonts w:hint="eastAsia" w:ascii="仿宋_GB2312" w:hAnsi="Times New Roman" w:eastAsia="仿宋_GB2312" w:cs="Times New Roman"/>
                <w:sz w:val="24"/>
                <w:szCs w:val="24"/>
                <w:lang w:val="en-US" w:eastAsia="zh-CN"/>
              </w:rPr>
              <w:t>完成</w:t>
            </w:r>
            <w:r>
              <w:rPr>
                <w:rFonts w:hint="eastAsia" w:ascii="仿宋_GB2312" w:hAnsi="Times New Roman" w:eastAsia="仿宋_GB2312" w:cs="Times New Roman"/>
                <w:sz w:val="24"/>
                <w:szCs w:val="24"/>
              </w:rPr>
              <w:t>，确保</w:t>
            </w:r>
            <w:r>
              <w:rPr>
                <w:rFonts w:hint="eastAsia" w:ascii="仿宋_GB2312" w:hAnsi="Times New Roman" w:eastAsia="仿宋_GB2312" w:cs="Times New Roman"/>
                <w:sz w:val="24"/>
                <w:szCs w:val="24"/>
                <w:lang w:val="en-US" w:eastAsia="zh-CN"/>
              </w:rPr>
              <w:t>项目</w:t>
            </w:r>
            <w:r>
              <w:rPr>
                <w:rFonts w:hint="eastAsia" w:ascii="仿宋_GB2312" w:hAnsi="Times New Roman" w:eastAsia="仿宋_GB2312" w:cs="Times New Roman"/>
                <w:sz w:val="24"/>
                <w:szCs w:val="24"/>
              </w:rPr>
              <w:t>顺利进行</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18B0DD8">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未能提供相关凭证，</w:t>
            </w:r>
            <w:r>
              <w:rPr>
                <w:rFonts w:hint="eastAsia" w:ascii="仿宋_GB2312" w:hAnsi="Times New Roman" w:eastAsia="仿宋_GB2312" w:cs="Times New Roman"/>
                <w:sz w:val="24"/>
                <w:szCs w:val="24"/>
                <w:lang w:val="en-US" w:eastAsia="zh-CN"/>
              </w:rPr>
              <w:t>不能反映及时性</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支付</w:t>
            </w:r>
            <w:r>
              <w:rPr>
                <w:rFonts w:hint="eastAsia" w:ascii="仿宋_GB2312" w:eastAsia="仿宋_GB2312" w:cs="Times New Roman"/>
                <w:sz w:val="24"/>
                <w:szCs w:val="24"/>
                <w:lang w:val="en-US" w:eastAsia="zh-CN"/>
              </w:rPr>
              <w:t>已</w:t>
            </w:r>
            <w:r>
              <w:rPr>
                <w:rFonts w:hint="eastAsia" w:ascii="仿宋_GB2312" w:hAnsi="Times New Roman" w:eastAsia="仿宋_GB2312" w:cs="Times New Roman"/>
                <w:sz w:val="24"/>
                <w:szCs w:val="24"/>
                <w:lang w:val="en-US" w:eastAsia="zh-CN"/>
              </w:rPr>
              <w:t>完成。得4分</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C09504">
            <w:pPr>
              <w:widowControl/>
              <w:spacing w:line="9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val="en-US" w:eastAsia="zh-CN"/>
              </w:rPr>
              <w:t>4</w:t>
            </w:r>
          </w:p>
        </w:tc>
      </w:tr>
      <w:tr w14:paraId="60A0A669">
        <w:tblPrEx>
          <w:tblCellMar>
            <w:top w:w="0" w:type="dxa"/>
            <w:left w:w="0" w:type="dxa"/>
            <w:bottom w:w="0" w:type="dxa"/>
            <w:right w:w="0" w:type="dxa"/>
          </w:tblCellMar>
        </w:tblPrEx>
        <w:trPr>
          <w:trHeight w:val="1276" w:hRule="atLeast"/>
          <w:jc w:val="center"/>
        </w:trPr>
        <w:tc>
          <w:tcPr>
            <w:tcW w:w="751" w:type="dxa"/>
            <w:vMerge w:val="continue"/>
            <w:tcBorders>
              <w:top w:val="nil"/>
              <w:left w:val="single" w:color="000000" w:sz="8" w:space="0"/>
              <w:bottom w:val="single" w:color="000000" w:sz="8" w:space="0"/>
              <w:right w:val="single" w:color="000000" w:sz="8" w:space="0"/>
            </w:tcBorders>
            <w:shd w:val="clear" w:color="auto" w:fill="auto"/>
            <w:noWrap w:val="0"/>
            <w:vAlign w:val="center"/>
          </w:tcPr>
          <w:p w14:paraId="25B5490F">
            <w:pPr>
              <w:widowControl/>
              <w:jc w:val="left"/>
              <w:rPr>
                <w:rFonts w:hint="eastAsia" w:ascii="仿宋" w:hAnsi="仿宋" w:eastAsia="仿宋" w:cs="仿宋"/>
                <w:kern w:val="0"/>
                <w:sz w:val="24"/>
                <w:szCs w:val="24"/>
              </w:rPr>
            </w:pPr>
          </w:p>
        </w:tc>
        <w:tc>
          <w:tcPr>
            <w:tcW w:w="97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1B39C8A">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成本指标</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4分）</w:t>
            </w:r>
          </w:p>
        </w:tc>
        <w:tc>
          <w:tcPr>
            <w:tcW w:w="2207"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45EA4EF">
            <w:pPr>
              <w:widowControl/>
              <w:spacing w:line="90" w:lineRule="atLeast"/>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eastAsia="zh-CN"/>
              </w:rPr>
              <w:t>预算控制率</w:t>
            </w:r>
          </w:p>
        </w:tc>
        <w:tc>
          <w:tcPr>
            <w:tcW w:w="1963"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E0E2DA8">
            <w:pPr>
              <w:widowControl/>
              <w:spacing w:line="90" w:lineRule="atLeast"/>
              <w:jc w:val="center"/>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rPr>
              <w:t>这一指标反映了项目实际支出与预算之间的偏差程度。在水利工程项目中，预算控制是确保资金使用效率、避免浪费的重要手段</w:t>
            </w:r>
          </w:p>
        </w:tc>
        <w:tc>
          <w:tcPr>
            <w:tcW w:w="235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B37F66B">
            <w:pPr>
              <w:widowControl/>
              <w:spacing w:line="90" w:lineRule="atLeast"/>
              <w:jc w:val="center"/>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lang w:val="en-US" w:eastAsia="zh-CN"/>
              </w:rPr>
              <w:t>在实际运营中追加了预算。得3分</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1098B71">
            <w:pPr>
              <w:widowControl/>
              <w:spacing w:line="90" w:lineRule="atLeast"/>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val="en-US" w:eastAsia="zh-CN"/>
              </w:rPr>
              <w:t>3</w:t>
            </w:r>
          </w:p>
        </w:tc>
      </w:tr>
      <w:tr w14:paraId="5D5DA887">
        <w:tblPrEx>
          <w:tblCellMar>
            <w:top w:w="0" w:type="dxa"/>
            <w:left w:w="0" w:type="dxa"/>
            <w:bottom w:w="0" w:type="dxa"/>
            <w:right w:w="0" w:type="dxa"/>
          </w:tblCellMar>
        </w:tblPrEx>
        <w:trPr>
          <w:trHeight w:val="786" w:hRule="atLeast"/>
          <w:jc w:val="center"/>
        </w:trPr>
        <w:tc>
          <w:tcPr>
            <w:tcW w:w="8250" w:type="dxa"/>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377F54B7">
            <w:pPr>
              <w:widowControl/>
              <w:spacing w:line="320" w:lineRule="atLeast"/>
              <w:jc w:val="center"/>
              <w:rPr>
                <w:rFonts w:hint="eastAsia" w:ascii="仿宋" w:hAnsi="仿宋" w:eastAsia="仿宋" w:cs="仿宋"/>
                <w:kern w:val="0"/>
                <w:sz w:val="24"/>
                <w:szCs w:val="24"/>
              </w:rPr>
            </w:pPr>
            <w:r>
              <w:rPr>
                <w:rFonts w:hint="eastAsia" w:ascii="仿宋_GB2312" w:hAnsi="Times New Roman" w:eastAsia="仿宋_GB2312" w:cs="Times New Roman"/>
                <w:sz w:val="24"/>
                <w:szCs w:val="24"/>
              </w:rPr>
              <w:t>小计</w:t>
            </w:r>
          </w:p>
        </w:tc>
        <w:tc>
          <w:tcPr>
            <w:tcW w:w="67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7355D7A">
            <w:pPr>
              <w:widowControl/>
              <w:spacing w:line="90" w:lineRule="atLeast"/>
              <w:jc w:val="center"/>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16</w:t>
            </w:r>
          </w:p>
        </w:tc>
      </w:tr>
    </w:tbl>
    <w:p w14:paraId="21E388D8">
      <w:pPr>
        <w:numPr>
          <w:ilvl w:val="0"/>
          <w:numId w:val="3"/>
        </w:numPr>
        <w:spacing w:line="560" w:lineRule="exact"/>
        <w:ind w:firstLine="480" w:firstLineChars="200"/>
        <w:rPr>
          <w:rFonts w:hint="eastAsia" w:ascii="仿宋_GB2312" w:hAnsi="Times New Roman" w:eastAsia="仿宋_GB2312" w:cs="Times New Roman"/>
          <w:sz w:val="24"/>
          <w:szCs w:val="24"/>
          <w:highlight w:val="none"/>
          <w:lang w:val="en-US" w:eastAsia="zh-CN"/>
        </w:rPr>
      </w:pPr>
      <w:r>
        <w:rPr>
          <w:rFonts w:hint="eastAsia" w:ascii="仿宋" w:hAnsi="仿宋" w:eastAsia="仿宋" w:cs="仿宋"/>
          <w:kern w:val="0"/>
          <w:sz w:val="24"/>
          <w:szCs w:val="24"/>
          <w:lang w:val="en-US" w:eastAsia="zh-CN"/>
        </w:rPr>
        <w:t>水</w:t>
      </w:r>
      <w:r>
        <w:rPr>
          <w:rFonts w:hint="eastAsia" w:ascii="仿宋_GB2312" w:hAnsi="Times New Roman" w:eastAsia="仿宋_GB2312" w:cs="Times New Roman"/>
          <w:sz w:val="24"/>
          <w:szCs w:val="24"/>
          <w:highlight w:val="none"/>
          <w:lang w:val="en-US" w:eastAsia="zh-CN"/>
        </w:rPr>
        <w:t>利工程维修养护数量</w:t>
      </w:r>
    </w:p>
    <w:p w14:paraId="176D14F6">
      <w:pPr>
        <w:numPr>
          <w:ilvl w:val="0"/>
          <w:numId w:val="0"/>
        </w:numPr>
        <w:spacing w:line="560" w:lineRule="exact"/>
        <w:ind w:firstLine="240" w:firstLineChars="100"/>
        <w:rPr>
          <w:rFonts w:ascii="仿宋_GB2312" w:hAnsi="Times New Roman" w:eastAsia="仿宋_GB2312" w:cs="Times New Roman"/>
          <w:sz w:val="24"/>
          <w:szCs w:val="24"/>
          <w:highlight w:val="none"/>
        </w:rPr>
      </w:pPr>
      <w:r>
        <w:rPr>
          <w:rFonts w:hint="eastAsia" w:ascii="仿宋_GB2312" w:hAnsi="Times New Roman" w:eastAsia="仿宋_GB2312" w:cs="Times New Roman"/>
          <w:sz w:val="24"/>
          <w:szCs w:val="24"/>
          <w:highlight w:val="none"/>
        </w:rPr>
        <w:t>指标解释：项目实施的实际产出数，用以反映和考核项目产出数量。</w:t>
      </w:r>
    </w:p>
    <w:p w14:paraId="797BCD15">
      <w:pPr>
        <w:spacing w:line="560" w:lineRule="exact"/>
        <w:ind w:firstLine="240" w:firstLineChars="100"/>
        <w:rPr>
          <w:rFonts w:ascii="仿宋_GB2312" w:hAnsi="Times New Roman" w:eastAsia="仿宋_GB2312" w:cs="Times New Roman"/>
          <w:sz w:val="24"/>
          <w:szCs w:val="24"/>
        </w:rPr>
      </w:pPr>
      <w:r>
        <w:rPr>
          <w:rFonts w:hint="eastAsia" w:ascii="仿宋_GB2312" w:hAnsi="Times New Roman" w:eastAsia="仿宋_GB2312" w:cs="Times New Roman"/>
          <w:sz w:val="24"/>
          <w:szCs w:val="24"/>
          <w:highlight w:val="none"/>
        </w:rPr>
        <w:t>评分情况：</w:t>
      </w:r>
      <w:r>
        <w:rPr>
          <w:rFonts w:hint="eastAsia" w:ascii="仿宋_GB2312" w:eastAsia="仿宋_GB2312" w:cs="Times New Roman"/>
          <w:sz w:val="24"/>
          <w:szCs w:val="24"/>
          <w:highlight w:val="none"/>
          <w:lang w:val="en-US" w:eastAsia="zh-CN"/>
        </w:rPr>
        <w:t>自评报表中要求不能低于10处（座），但在项目维修养护中没发现实际维护数量。</w:t>
      </w:r>
      <w:r>
        <w:rPr>
          <w:rFonts w:hint="eastAsia" w:ascii="仿宋_GB2312" w:hAnsi="Times New Roman" w:eastAsia="仿宋_GB2312" w:cs="Times New Roman"/>
          <w:sz w:val="24"/>
          <w:szCs w:val="24"/>
        </w:rPr>
        <w:t>该项指标满分</w:t>
      </w:r>
      <w:r>
        <w:rPr>
          <w:rFonts w:hint="eastAsia" w:ascii="仿宋_GB2312" w:hAnsi="Times New Roman" w:eastAsia="仿宋_GB2312" w:cs="Times New Roman"/>
          <w:sz w:val="24"/>
          <w:szCs w:val="24"/>
          <w:lang w:val="en-US" w:eastAsia="zh-CN"/>
        </w:rPr>
        <w:t>6</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66.67</w:t>
      </w:r>
      <w:r>
        <w:rPr>
          <w:rFonts w:hint="eastAsia" w:ascii="仿宋_GB2312" w:hAnsi="Times New Roman" w:eastAsia="仿宋_GB2312" w:cs="Times New Roman"/>
          <w:sz w:val="24"/>
          <w:szCs w:val="24"/>
        </w:rPr>
        <w:t>%。</w:t>
      </w:r>
    </w:p>
    <w:p w14:paraId="593C3632">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2.</w:t>
      </w:r>
      <w:bookmarkStart w:id="28" w:name="_Hlk79870035"/>
      <w:r>
        <w:rPr>
          <w:rFonts w:hint="eastAsia" w:ascii="仿宋_GB2312" w:hAnsi="Times New Roman" w:eastAsia="仿宋_GB2312" w:cs="Times New Roman"/>
          <w:sz w:val="24"/>
          <w:szCs w:val="24"/>
          <w:lang w:val="en-US" w:eastAsia="zh-CN"/>
        </w:rPr>
        <w:t>验收合格率</w:t>
      </w:r>
    </w:p>
    <w:bookmarkEnd w:id="28"/>
    <w:p w14:paraId="3370AF02">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指标解释：项目实际支出与合同或文件规定相比，用以反映和考核项目验收合规程度。</w:t>
      </w:r>
    </w:p>
    <w:p w14:paraId="271C740E">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评分情况：通</w:t>
      </w:r>
      <w:r>
        <w:rPr>
          <w:rFonts w:hint="eastAsia" w:ascii="仿宋_GB2312" w:eastAsia="仿宋_GB2312" w:cs="Times New Roman"/>
          <w:sz w:val="24"/>
          <w:szCs w:val="24"/>
          <w:lang w:val="en-US" w:eastAsia="zh-CN"/>
        </w:rPr>
        <w:t>过查阅转账凭证及申请表等原始凭证，没发现有这个产出要求，只有在自评报表中提到涵闸正常运转成效显著，没有具体数量来衡量。经询问了解到具体事项由淮河河道管理局等三家单位负责，水利局不管不符合监管要求。</w:t>
      </w:r>
      <w:r>
        <w:rPr>
          <w:rFonts w:hint="eastAsia" w:ascii="仿宋_GB2312" w:hAnsi="Times New Roman" w:eastAsia="仿宋_GB2312" w:cs="Times New Roman"/>
          <w:sz w:val="24"/>
          <w:szCs w:val="24"/>
        </w:rPr>
        <w:t>满分</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分，得分</w:t>
      </w: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66.67</w:t>
      </w:r>
      <w:r>
        <w:rPr>
          <w:rFonts w:hint="eastAsia" w:ascii="仿宋_GB2312" w:hAnsi="Times New Roman" w:eastAsia="仿宋_GB2312" w:cs="Times New Roman"/>
          <w:sz w:val="24"/>
          <w:szCs w:val="24"/>
        </w:rPr>
        <w:t>%。</w:t>
      </w:r>
    </w:p>
    <w:p w14:paraId="6D356C9C">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w:t>
      </w:r>
      <w:r>
        <w:rPr>
          <w:rFonts w:hint="eastAsia" w:ascii="仿宋_GB2312" w:eastAsia="仿宋_GB2312" w:cs="Times New Roman"/>
          <w:sz w:val="24"/>
          <w:szCs w:val="24"/>
          <w:lang w:val="en-US" w:eastAsia="zh-CN"/>
        </w:rPr>
        <w:t>保障涵闸正常运转</w:t>
      </w:r>
    </w:p>
    <w:p w14:paraId="5BEAF5CA">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指标解释：项目实际完成</w:t>
      </w:r>
      <w:r>
        <w:rPr>
          <w:rFonts w:hint="eastAsia" w:ascii="仿宋_GB2312" w:hAnsi="Times New Roman" w:eastAsia="仿宋_GB2312" w:cs="Times New Roman"/>
          <w:sz w:val="24"/>
          <w:szCs w:val="24"/>
          <w:lang w:val="en-US" w:eastAsia="zh-CN"/>
        </w:rPr>
        <w:t>与</w:t>
      </w:r>
      <w:r>
        <w:rPr>
          <w:rFonts w:hint="eastAsia" w:ascii="仿宋_GB2312" w:eastAsia="仿宋_GB2312" w:cs="Times New Roman"/>
          <w:sz w:val="24"/>
          <w:szCs w:val="24"/>
          <w:lang w:val="en-US" w:eastAsia="zh-CN"/>
        </w:rPr>
        <w:t>文件</w:t>
      </w:r>
      <w:r>
        <w:rPr>
          <w:rFonts w:hint="eastAsia" w:ascii="仿宋_GB2312" w:hAnsi="Times New Roman" w:eastAsia="仿宋_GB2312" w:cs="Times New Roman"/>
          <w:sz w:val="24"/>
          <w:szCs w:val="24"/>
          <w:lang w:val="en-US" w:eastAsia="zh-CN"/>
        </w:rPr>
        <w:t>规定要求相</w:t>
      </w:r>
      <w:r>
        <w:rPr>
          <w:rFonts w:hint="eastAsia" w:ascii="仿宋_GB2312" w:hAnsi="Times New Roman" w:eastAsia="仿宋_GB2312" w:cs="Times New Roman"/>
          <w:sz w:val="24"/>
          <w:szCs w:val="24"/>
        </w:rPr>
        <w:t>比较，用以反映和考核项目产出</w:t>
      </w:r>
      <w:r>
        <w:rPr>
          <w:rFonts w:hint="eastAsia" w:ascii="仿宋_GB2312" w:hAnsi="Times New Roman" w:eastAsia="仿宋_GB2312" w:cs="Times New Roman"/>
          <w:sz w:val="24"/>
          <w:szCs w:val="24"/>
          <w:lang w:val="en-US" w:eastAsia="zh-CN"/>
        </w:rPr>
        <w:t>质量</w:t>
      </w:r>
      <w:r>
        <w:rPr>
          <w:rFonts w:hint="eastAsia" w:ascii="仿宋_GB2312" w:hAnsi="Times New Roman" w:eastAsia="仿宋_GB2312" w:cs="Times New Roman"/>
          <w:sz w:val="24"/>
          <w:szCs w:val="24"/>
        </w:rPr>
        <w:t>目标的实现程度。</w:t>
      </w:r>
    </w:p>
    <w:p w14:paraId="57DA034C">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评分情况：涵闸等水利设施在维修养护后能够正常运转，发挥其应有的防洪、排涝等功能</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rPr>
        <w:t>该项指标满分</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分，得</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分，得分率100.00%。</w:t>
      </w:r>
    </w:p>
    <w:p w14:paraId="4C35FBAD">
      <w:pPr>
        <w:spacing w:line="560" w:lineRule="exact"/>
        <w:ind w:firstLine="480" w:firstLineChars="200"/>
        <w:rPr>
          <w:rFonts w:hint="eastAsia" w:ascii="仿宋_GB2312" w:hAnsi="Times New Roman" w:eastAsia="仿宋_GB2312" w:cs="Times New Roman"/>
          <w:sz w:val="24"/>
          <w:szCs w:val="24"/>
        </w:rPr>
      </w:pP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经费支出的时效性</w:t>
      </w:r>
    </w:p>
    <w:p w14:paraId="5734560A">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指标解释：完成项目及时支付</w:t>
      </w:r>
      <w:r>
        <w:rPr>
          <w:rFonts w:hint="eastAsia" w:ascii="仿宋_GB2312" w:hAnsi="Times New Roman" w:eastAsia="仿宋_GB2312" w:cs="Times New Roman"/>
          <w:sz w:val="24"/>
          <w:szCs w:val="24"/>
          <w:lang w:val="en-US" w:eastAsia="zh-CN"/>
        </w:rPr>
        <w:t>经费</w:t>
      </w:r>
      <w:r>
        <w:rPr>
          <w:rFonts w:hint="eastAsia" w:ascii="仿宋_GB2312" w:hAnsi="Times New Roman" w:eastAsia="仿宋_GB2312" w:cs="Times New Roman"/>
          <w:sz w:val="24"/>
          <w:szCs w:val="24"/>
        </w:rPr>
        <w:t>，确保</w:t>
      </w:r>
      <w:r>
        <w:rPr>
          <w:rFonts w:hint="eastAsia" w:ascii="仿宋_GB2312" w:hAnsi="Times New Roman" w:eastAsia="仿宋_GB2312" w:cs="Times New Roman"/>
          <w:sz w:val="24"/>
          <w:szCs w:val="24"/>
          <w:lang w:val="en-US" w:eastAsia="zh-CN"/>
        </w:rPr>
        <w:t>项目</w:t>
      </w:r>
      <w:r>
        <w:rPr>
          <w:rFonts w:hint="eastAsia" w:ascii="仿宋_GB2312" w:hAnsi="Times New Roman" w:eastAsia="仿宋_GB2312" w:cs="Times New Roman"/>
          <w:sz w:val="24"/>
          <w:szCs w:val="24"/>
        </w:rPr>
        <w:t>工作顺利进行，用以反映和考核项目的</w:t>
      </w:r>
      <w:r>
        <w:rPr>
          <w:rFonts w:hint="eastAsia" w:ascii="仿宋_GB2312" w:hAnsi="Times New Roman" w:eastAsia="仿宋_GB2312" w:cs="Times New Roman"/>
          <w:sz w:val="24"/>
          <w:szCs w:val="24"/>
          <w:lang w:val="en-US" w:eastAsia="zh-CN"/>
        </w:rPr>
        <w:t>支付及时性</w:t>
      </w:r>
      <w:r>
        <w:rPr>
          <w:rFonts w:hint="eastAsia" w:ascii="仿宋_GB2312" w:hAnsi="Times New Roman" w:eastAsia="仿宋_GB2312" w:cs="Times New Roman"/>
          <w:sz w:val="24"/>
          <w:szCs w:val="24"/>
        </w:rPr>
        <w:t>。</w:t>
      </w:r>
    </w:p>
    <w:p w14:paraId="53C5711C">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评分情况：经费支出的</w:t>
      </w:r>
      <w:r>
        <w:rPr>
          <w:rFonts w:hint="eastAsia" w:ascii="仿宋" w:hAnsi="仿宋" w:eastAsia="仿宋" w:cs="仿宋"/>
          <w:color w:val="000000"/>
          <w:kern w:val="0"/>
          <w:sz w:val="24"/>
          <w:szCs w:val="24"/>
        </w:rPr>
        <w:t>时效</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运营维护支时性，能确保涵闸等水利设施在维修养护中能</w:t>
      </w:r>
      <w:r>
        <w:rPr>
          <w:rFonts w:hint="eastAsia" w:ascii="仿宋" w:hAnsi="仿宋" w:eastAsia="仿宋" w:cs="仿宋"/>
          <w:color w:val="000000"/>
          <w:kern w:val="0"/>
          <w:sz w:val="24"/>
          <w:szCs w:val="24"/>
        </w:rPr>
        <w:t>及时</w:t>
      </w:r>
      <w:r>
        <w:rPr>
          <w:rFonts w:hint="eastAsia" w:ascii="仿宋" w:hAnsi="仿宋" w:eastAsia="仿宋" w:cs="仿宋"/>
          <w:color w:val="000000"/>
          <w:kern w:val="0"/>
          <w:sz w:val="24"/>
          <w:szCs w:val="24"/>
          <w:lang w:val="en-US" w:eastAsia="zh-CN"/>
        </w:rPr>
        <w:t>完成</w:t>
      </w:r>
      <w:r>
        <w:rPr>
          <w:rFonts w:hint="eastAsia" w:ascii="仿宋" w:hAnsi="仿宋" w:eastAsia="仿宋" w:cs="仿宋"/>
          <w:color w:val="000000"/>
          <w:kern w:val="0"/>
          <w:sz w:val="24"/>
          <w:szCs w:val="24"/>
        </w:rPr>
        <w:t>，确保</w:t>
      </w:r>
      <w:r>
        <w:rPr>
          <w:rFonts w:hint="eastAsia" w:ascii="仿宋" w:hAnsi="仿宋" w:eastAsia="仿宋" w:cs="仿宋"/>
          <w:color w:val="000000"/>
          <w:kern w:val="0"/>
          <w:sz w:val="24"/>
          <w:szCs w:val="24"/>
          <w:lang w:val="en-US" w:eastAsia="zh-CN"/>
        </w:rPr>
        <w:t>项目</w:t>
      </w:r>
      <w:r>
        <w:rPr>
          <w:rFonts w:hint="eastAsia" w:ascii="仿宋" w:hAnsi="仿宋" w:eastAsia="仿宋" w:cs="仿宋"/>
          <w:color w:val="000000"/>
          <w:kern w:val="0"/>
          <w:sz w:val="24"/>
          <w:szCs w:val="24"/>
        </w:rPr>
        <w:t>顺利进行</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但没有查到要求何时付款，只看到付款报销单据，不能反映及时性指标。但实际已支付完毕。</w:t>
      </w:r>
      <w:r>
        <w:rPr>
          <w:rFonts w:hint="eastAsia" w:ascii="仿宋_GB2312" w:hAnsi="Times New Roman" w:eastAsia="仿宋_GB2312" w:cs="Times New Roman"/>
          <w:sz w:val="24"/>
          <w:szCs w:val="24"/>
        </w:rPr>
        <w:t>该项指标满分</w:t>
      </w:r>
      <w:r>
        <w:rPr>
          <w:rFonts w:hint="eastAsia" w:ascii="仿宋_GB2312" w:eastAsia="仿宋_GB2312" w:cs="Times New Roman"/>
          <w:sz w:val="24"/>
          <w:szCs w:val="24"/>
          <w:lang w:val="en-US" w:eastAsia="zh-CN"/>
        </w:rPr>
        <w:t>6</w:t>
      </w:r>
      <w:r>
        <w:rPr>
          <w:rFonts w:hint="eastAsia" w:ascii="仿宋_GB2312" w:hAnsi="Times New Roman" w:eastAsia="仿宋_GB2312" w:cs="Times New Roman"/>
          <w:sz w:val="24"/>
          <w:szCs w:val="24"/>
        </w:rPr>
        <w:t>分，得</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66.67</w:t>
      </w:r>
      <w:r>
        <w:rPr>
          <w:rFonts w:hint="eastAsia" w:ascii="仿宋_GB2312" w:hAnsi="Times New Roman" w:eastAsia="仿宋_GB2312" w:cs="Times New Roman"/>
          <w:sz w:val="24"/>
          <w:szCs w:val="24"/>
        </w:rPr>
        <w:t>%。</w:t>
      </w:r>
    </w:p>
    <w:p w14:paraId="7010853F">
      <w:pPr>
        <w:spacing w:line="560" w:lineRule="exact"/>
        <w:ind w:firstLine="480" w:firstLineChars="200"/>
        <w:rPr>
          <w:rFonts w:ascii="仿宋_GB2312" w:hAnsi="Times New Roman" w:eastAsia="仿宋_GB2312" w:cs="Times New Roman"/>
          <w:sz w:val="24"/>
          <w:szCs w:val="24"/>
        </w:rPr>
      </w:pP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.预算</w:t>
      </w:r>
      <w:r>
        <w:rPr>
          <w:rFonts w:hint="eastAsia" w:ascii="仿宋_GB2312" w:hAnsi="Times New Roman" w:eastAsia="仿宋_GB2312" w:cs="Times New Roman"/>
          <w:sz w:val="24"/>
          <w:szCs w:val="24"/>
          <w:lang w:eastAsia="zh-CN"/>
        </w:rPr>
        <w:t>控制</w:t>
      </w:r>
      <w:r>
        <w:rPr>
          <w:rFonts w:hint="eastAsia" w:ascii="仿宋_GB2312" w:hAnsi="Times New Roman" w:eastAsia="仿宋_GB2312" w:cs="Times New Roman"/>
          <w:sz w:val="24"/>
          <w:szCs w:val="24"/>
        </w:rPr>
        <w:t>率</w:t>
      </w:r>
    </w:p>
    <w:p w14:paraId="596076C3">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指标解释：完成项目计划工作目标的实际节约成本与计划成本的比率，用以反映和考核项目的成本节约程度。</w:t>
      </w:r>
    </w:p>
    <w:p w14:paraId="6EAE0243">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评分情况：反映了项目实际支出与预算之间的偏差程度。在水利工程项目中，预算控制是确保资金使用效率、避免浪费的重要手段</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年初预算120万，中途追加预算12.8万，总计支出132.8万。</w:t>
      </w:r>
      <w:r>
        <w:rPr>
          <w:rFonts w:hint="eastAsia" w:ascii="仿宋_GB2312" w:hAnsi="Times New Roman" w:eastAsia="仿宋_GB2312" w:cs="Times New Roman"/>
          <w:sz w:val="24"/>
          <w:szCs w:val="24"/>
        </w:rPr>
        <w:t>预算</w:t>
      </w:r>
      <w:r>
        <w:rPr>
          <w:rFonts w:hint="eastAsia" w:ascii="仿宋_GB2312" w:hAnsi="Times New Roman" w:eastAsia="仿宋_GB2312" w:cs="Times New Roman"/>
          <w:sz w:val="24"/>
          <w:szCs w:val="24"/>
          <w:lang w:eastAsia="zh-CN"/>
        </w:rPr>
        <w:t>控制</w:t>
      </w:r>
      <w:r>
        <w:rPr>
          <w:rFonts w:hint="eastAsia" w:ascii="仿宋_GB2312" w:hAnsi="Times New Roman" w:eastAsia="仿宋_GB2312" w:cs="Times New Roman"/>
          <w:sz w:val="24"/>
          <w:szCs w:val="24"/>
        </w:rPr>
        <w:t>率=实际支付资金/实际到位资金*100%，实际完成值为 100%</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lang w:val="en-US" w:eastAsia="zh-CN"/>
        </w:rPr>
        <w:t>未考虑追加预算</w:t>
      </w:r>
      <w:r>
        <w:rPr>
          <w:rFonts w:hint="eastAsia" w:ascii="仿宋_GB2312" w:hAnsi="Times New Roman" w:eastAsia="仿宋_GB2312" w:cs="Times New Roman"/>
          <w:sz w:val="24"/>
          <w:szCs w:val="24"/>
          <w:lang w:eastAsia="zh-CN"/>
        </w:rPr>
        <w:t>）</w:t>
      </w:r>
      <w:r>
        <w:rPr>
          <w:rFonts w:hint="eastAsia" w:ascii="仿宋_GB2312" w:hAnsi="Times New Roman" w:eastAsia="仿宋_GB2312" w:cs="Times New Roman"/>
          <w:sz w:val="24"/>
          <w:szCs w:val="24"/>
        </w:rPr>
        <w:t>。该项指标满分</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rPr>
        <w:t>分，得</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分，得分率</w:t>
      </w:r>
      <w:r>
        <w:rPr>
          <w:rFonts w:hint="eastAsia" w:ascii="仿宋_GB2312" w:hAnsi="Times New Roman" w:eastAsia="仿宋_GB2312" w:cs="Times New Roman"/>
          <w:sz w:val="24"/>
          <w:szCs w:val="24"/>
          <w:lang w:val="en-US" w:eastAsia="zh-CN"/>
        </w:rPr>
        <w:t>75</w:t>
      </w:r>
      <w:r>
        <w:rPr>
          <w:rFonts w:hint="eastAsia" w:ascii="仿宋_GB2312" w:hAnsi="Times New Roman" w:eastAsia="仿宋_GB2312" w:cs="Times New Roman"/>
          <w:sz w:val="24"/>
          <w:szCs w:val="24"/>
        </w:rPr>
        <w:t>.00%。</w:t>
      </w:r>
    </w:p>
    <w:p w14:paraId="770D6DB6">
      <w:pPr>
        <w:spacing w:line="560" w:lineRule="exact"/>
        <w:ind w:firstLine="480" w:firstLineChars="200"/>
        <w:outlineLvl w:val="1"/>
        <w:rPr>
          <w:rFonts w:ascii="楷体_GB2312" w:hAnsi="Times New Roman" w:eastAsia="楷体_GB2312" w:cs="Times New Roman"/>
          <w:sz w:val="24"/>
          <w:szCs w:val="24"/>
        </w:rPr>
      </w:pPr>
      <w:bookmarkStart w:id="29" w:name="_Toc13789"/>
      <w:r>
        <w:rPr>
          <w:rFonts w:hint="eastAsia" w:ascii="楷体_GB2312" w:hAnsi="Times New Roman" w:eastAsia="楷体_GB2312" w:cs="Times New Roman"/>
          <w:sz w:val="24"/>
          <w:szCs w:val="24"/>
        </w:rPr>
        <w:t>（</w:t>
      </w:r>
      <w:r>
        <w:rPr>
          <w:rFonts w:hint="eastAsia" w:ascii="仿宋_GB2312" w:hAnsi="Times New Roman" w:eastAsia="仿宋_GB2312" w:cs="Times New Roman"/>
          <w:sz w:val="24"/>
          <w:szCs w:val="24"/>
          <w:lang w:val="en-US" w:eastAsia="zh-CN"/>
        </w:rPr>
        <w:t>四）项目效益情况</w:t>
      </w:r>
      <w:bookmarkEnd w:id="29"/>
    </w:p>
    <w:p w14:paraId="151B03FD">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项目效益的评价指标包括经济效益</w:t>
      </w:r>
      <w:r>
        <w:rPr>
          <w:rFonts w:hint="eastAsia" w:ascii="仿宋_GB2312" w:eastAsia="仿宋_GB2312" w:cs="Times New Roman"/>
          <w:sz w:val="24"/>
          <w:szCs w:val="24"/>
          <w:lang w:eastAsia="zh-CN"/>
        </w:rPr>
        <w:t>、</w:t>
      </w:r>
      <w:r>
        <w:rPr>
          <w:rFonts w:hint="eastAsia" w:ascii="仿宋_GB2312" w:hAnsi="Times New Roman" w:eastAsia="仿宋_GB2312" w:cs="Times New Roman"/>
          <w:sz w:val="24"/>
          <w:szCs w:val="24"/>
        </w:rPr>
        <w:t>社会效益、</w:t>
      </w:r>
      <w:r>
        <w:rPr>
          <w:rFonts w:hint="eastAsia" w:ascii="仿宋_GB2312" w:eastAsia="仿宋_GB2312" w:cs="Times New Roman"/>
          <w:sz w:val="24"/>
          <w:szCs w:val="24"/>
          <w:lang w:val="en-US" w:eastAsia="zh-CN"/>
        </w:rPr>
        <w:t>生态效益、</w:t>
      </w:r>
      <w:r>
        <w:rPr>
          <w:rFonts w:hint="eastAsia" w:ascii="仿宋_GB2312" w:hAnsi="Times New Roman" w:eastAsia="仿宋_GB2312" w:cs="Times New Roman"/>
          <w:sz w:val="24"/>
          <w:szCs w:val="24"/>
        </w:rPr>
        <w:t>可持续影响、满意度</w:t>
      </w:r>
      <w:r>
        <w:rPr>
          <w:rFonts w:hint="eastAsia" w:ascii="仿宋_GB2312" w:eastAsia="仿宋_GB2312" w:cs="Times New Roman"/>
          <w:sz w:val="24"/>
          <w:szCs w:val="24"/>
          <w:lang w:val="en-US" w:eastAsia="zh-CN"/>
        </w:rPr>
        <w:t>五</w:t>
      </w:r>
      <w:r>
        <w:rPr>
          <w:rFonts w:hint="eastAsia" w:ascii="仿宋_GB2312" w:hAnsi="Times New Roman" w:eastAsia="仿宋_GB2312" w:cs="Times New Roman"/>
          <w:sz w:val="24"/>
          <w:szCs w:val="24"/>
        </w:rPr>
        <w:t>项二级指标，共涉及粮食产量增产增收</w:t>
      </w:r>
      <w:r>
        <w:rPr>
          <w:rFonts w:hint="eastAsia" w:ascii="仿宋_GB2312" w:eastAsia="仿宋_GB2312" w:cs="Times New Roman"/>
          <w:sz w:val="24"/>
          <w:szCs w:val="24"/>
          <w:lang w:eastAsia="zh-CN"/>
        </w:rPr>
        <w:t>、防洪除涝能力显著提高、</w:t>
      </w:r>
      <w:r>
        <w:rPr>
          <w:rFonts w:hint="eastAsia" w:ascii="仿宋_GB2312" w:hAnsi="Times New Roman" w:eastAsia="仿宋_GB2312" w:cs="Times New Roman"/>
          <w:sz w:val="24"/>
          <w:szCs w:val="24"/>
        </w:rPr>
        <w:t>支撑县域经济发展；</w:t>
      </w:r>
      <w:r>
        <w:rPr>
          <w:rFonts w:hint="eastAsia" w:ascii="仿宋" w:hAnsi="仿宋" w:eastAsia="仿宋" w:cs="仿宋"/>
          <w:color w:val="000000"/>
          <w:kern w:val="0"/>
          <w:sz w:val="24"/>
          <w:szCs w:val="24"/>
        </w:rPr>
        <w:t>国有资产发挥效益能力保持稳定</w:t>
      </w:r>
      <w:r>
        <w:rPr>
          <w:rFonts w:hint="eastAsia" w:ascii="仿宋" w:hAnsi="仿宋" w:eastAsia="仿宋" w:cs="仿宋"/>
          <w:color w:val="000000"/>
          <w:kern w:val="0"/>
          <w:sz w:val="24"/>
          <w:szCs w:val="24"/>
          <w:lang w:eastAsia="zh-CN"/>
        </w:rPr>
        <w:t>、</w:t>
      </w:r>
      <w:r>
        <w:rPr>
          <w:rFonts w:hint="eastAsia" w:ascii="仿宋_GB2312" w:hAnsi="Times New Roman" w:eastAsia="仿宋_GB2312" w:cs="Times New Roman"/>
          <w:sz w:val="24"/>
          <w:szCs w:val="24"/>
        </w:rPr>
        <w:t>改善人居环境；</w:t>
      </w:r>
      <w:r>
        <w:rPr>
          <w:rFonts w:hint="eastAsia" w:ascii="仿宋" w:hAnsi="仿宋" w:eastAsia="仿宋" w:cs="仿宋"/>
          <w:color w:val="000000"/>
          <w:kern w:val="0"/>
          <w:sz w:val="24"/>
          <w:szCs w:val="24"/>
        </w:rPr>
        <w:t>国有资产发挥效益能力保持稳定</w:t>
      </w:r>
      <w:r>
        <w:rPr>
          <w:rFonts w:hint="eastAsia" w:ascii="仿宋" w:hAnsi="仿宋" w:eastAsia="仿宋" w:cs="仿宋"/>
          <w:color w:val="000000"/>
          <w:kern w:val="0"/>
          <w:sz w:val="24"/>
          <w:szCs w:val="24"/>
          <w:lang w:val="en-US" w:eastAsia="zh-CN"/>
        </w:rPr>
        <w:t>可持续发展</w:t>
      </w:r>
      <w:r>
        <w:rPr>
          <w:rFonts w:hint="eastAsia" w:ascii="仿宋_GB2312" w:hAnsi="Times New Roman" w:eastAsia="仿宋_GB2312" w:cs="Times New Roman"/>
          <w:sz w:val="24"/>
          <w:szCs w:val="24"/>
        </w:rPr>
        <w:t>及服务对象满意度</w:t>
      </w: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个三级指标。“项目效益”总分</w:t>
      </w:r>
      <w:r>
        <w:rPr>
          <w:rFonts w:hint="eastAsia" w:ascii="仿宋_GB2312" w:eastAsia="仿宋_GB2312" w:cs="Times New Roman"/>
          <w:sz w:val="24"/>
          <w:szCs w:val="24"/>
          <w:lang w:val="en-US" w:eastAsia="zh-CN"/>
        </w:rPr>
        <w:t>20</w:t>
      </w:r>
      <w:r>
        <w:rPr>
          <w:rFonts w:hint="eastAsia" w:ascii="仿宋_GB2312" w:hAnsi="Times New Roman" w:eastAsia="仿宋_GB2312" w:cs="Times New Roman"/>
          <w:sz w:val="24"/>
          <w:szCs w:val="24"/>
        </w:rPr>
        <w:t>分，得分</w:t>
      </w:r>
      <w:r>
        <w:rPr>
          <w:rFonts w:hint="eastAsia" w:ascii="仿宋_GB2312" w:eastAsia="仿宋_GB2312" w:cs="Times New Roman"/>
          <w:sz w:val="24"/>
          <w:szCs w:val="24"/>
          <w:lang w:val="en-US" w:eastAsia="zh-CN"/>
        </w:rPr>
        <w:t>16</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80.00</w:t>
      </w:r>
      <w:r>
        <w:rPr>
          <w:rFonts w:hint="eastAsia" w:ascii="仿宋_GB2312" w:hAnsi="Times New Roman" w:eastAsia="仿宋_GB2312" w:cs="Times New Roman"/>
          <w:sz w:val="24"/>
          <w:szCs w:val="24"/>
        </w:rPr>
        <w:t>%。</w:t>
      </w:r>
    </w:p>
    <w:p w14:paraId="2AC314A9">
      <w:pPr>
        <w:pStyle w:val="3"/>
        <w:rPr>
          <w:rFonts w:hint="default" w:ascii="仿宋_GB2312" w:hAnsi="Times New Roman" w:eastAsia="仿宋_GB2312" w:cs="Times New Roman"/>
          <w:sz w:val="24"/>
          <w:szCs w:val="24"/>
          <w:lang w:val="en-US" w:eastAsia="zh-CN"/>
        </w:rPr>
      </w:pPr>
    </w:p>
    <w:tbl>
      <w:tblPr>
        <w:tblStyle w:val="8"/>
        <w:tblW w:w="9030" w:type="dxa"/>
        <w:jc w:val="center"/>
        <w:tblLayout w:type="autofit"/>
        <w:tblCellMar>
          <w:top w:w="0" w:type="dxa"/>
          <w:left w:w="0" w:type="dxa"/>
          <w:bottom w:w="0" w:type="dxa"/>
          <w:right w:w="0" w:type="dxa"/>
        </w:tblCellMar>
      </w:tblPr>
      <w:tblGrid>
        <w:gridCol w:w="861"/>
        <w:gridCol w:w="840"/>
        <w:gridCol w:w="2026"/>
        <w:gridCol w:w="2419"/>
        <w:gridCol w:w="2119"/>
        <w:gridCol w:w="765"/>
      </w:tblGrid>
      <w:tr w14:paraId="7E37306E">
        <w:tblPrEx>
          <w:tblCellMar>
            <w:top w:w="0" w:type="dxa"/>
            <w:left w:w="0" w:type="dxa"/>
            <w:bottom w:w="0" w:type="dxa"/>
            <w:right w:w="0" w:type="dxa"/>
          </w:tblCellMar>
        </w:tblPrEx>
        <w:trPr>
          <w:trHeight w:val="692"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53B7521">
            <w:pPr>
              <w:widowControl/>
              <w:spacing w:line="320" w:lineRule="atLeast"/>
              <w:jc w:val="center"/>
              <w:rPr>
                <w:rFonts w:hint="eastAsia" w:ascii="仿宋" w:hAnsi="仿宋" w:eastAsia="仿宋" w:cs="仿宋"/>
                <w:kern w:val="0"/>
                <w:sz w:val="24"/>
                <w:szCs w:val="24"/>
              </w:rPr>
            </w:pPr>
            <w:r>
              <w:rPr>
                <w:rFonts w:hint="eastAsia" w:ascii="仿宋" w:hAnsi="仿宋" w:eastAsia="仿宋" w:cs="仿宋"/>
                <w:color w:val="000000"/>
                <w:kern w:val="0"/>
                <w:sz w:val="24"/>
                <w:szCs w:val="24"/>
              </w:rPr>
              <w:t>一级指标</w:t>
            </w:r>
          </w:p>
        </w:tc>
        <w:tc>
          <w:tcPr>
            <w:tcW w:w="840"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25319F2">
            <w:pPr>
              <w:widowControl/>
              <w:spacing w:line="320" w:lineRule="atLeast"/>
              <w:jc w:val="center"/>
              <w:rPr>
                <w:rFonts w:hint="eastAsia" w:ascii="仿宋" w:hAnsi="仿宋" w:eastAsia="仿宋" w:cs="仿宋"/>
                <w:kern w:val="0"/>
                <w:sz w:val="24"/>
                <w:szCs w:val="24"/>
              </w:rPr>
            </w:pPr>
            <w:r>
              <w:rPr>
                <w:rFonts w:hint="eastAsia" w:ascii="仿宋" w:hAnsi="仿宋" w:eastAsia="仿宋" w:cs="仿宋"/>
                <w:color w:val="000000"/>
                <w:kern w:val="0"/>
                <w:sz w:val="24"/>
                <w:szCs w:val="24"/>
              </w:rPr>
              <w:t>二级指标</w:t>
            </w:r>
          </w:p>
        </w:tc>
        <w:tc>
          <w:tcPr>
            <w:tcW w:w="2026"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61B7450">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color w:val="000000"/>
                <w:kern w:val="0"/>
                <w:sz w:val="24"/>
                <w:szCs w:val="24"/>
              </w:rPr>
              <w:t>三级指标</w:t>
            </w:r>
          </w:p>
        </w:tc>
        <w:tc>
          <w:tcPr>
            <w:tcW w:w="2419"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E7D7E30">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color w:val="000000"/>
                <w:kern w:val="0"/>
                <w:sz w:val="24"/>
                <w:szCs w:val="24"/>
              </w:rPr>
              <w:t>指标内容</w:t>
            </w:r>
          </w:p>
        </w:tc>
        <w:tc>
          <w:tcPr>
            <w:tcW w:w="2119"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95A17B3">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color w:val="000000"/>
                <w:kern w:val="0"/>
                <w:sz w:val="24"/>
                <w:szCs w:val="24"/>
                <w:lang w:val="en-US" w:eastAsia="zh-CN"/>
              </w:rPr>
              <w:t>评价情况</w:t>
            </w:r>
          </w:p>
        </w:tc>
        <w:tc>
          <w:tcPr>
            <w:tcW w:w="765" w:type="dxa"/>
            <w:tcBorders>
              <w:top w:val="single" w:color="000000" w:sz="8" w:space="0"/>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73DE87B4">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color w:val="000000"/>
                <w:kern w:val="0"/>
                <w:sz w:val="24"/>
                <w:szCs w:val="24"/>
              </w:rPr>
              <w:t>分值</w:t>
            </w:r>
          </w:p>
        </w:tc>
      </w:tr>
      <w:tr w14:paraId="60FC5189">
        <w:tblPrEx>
          <w:tblCellMar>
            <w:top w:w="0" w:type="dxa"/>
            <w:left w:w="0" w:type="dxa"/>
            <w:bottom w:w="0" w:type="dxa"/>
            <w:right w:w="0" w:type="dxa"/>
          </w:tblCellMar>
        </w:tblPrEx>
        <w:trPr>
          <w:trHeight w:val="1137" w:hRule="atLeast"/>
          <w:jc w:val="center"/>
        </w:trPr>
        <w:tc>
          <w:tcPr>
            <w:tcW w:w="861" w:type="dxa"/>
            <w:vMerge w:val="restart"/>
            <w:tcBorders>
              <w:top w:val="nil"/>
              <w:left w:val="single" w:color="000000" w:sz="8" w:space="0"/>
              <w:right w:val="single" w:color="000000" w:sz="8" w:space="0"/>
            </w:tcBorders>
            <w:shd w:val="clear" w:color="auto" w:fill="auto"/>
            <w:noWrap w:val="0"/>
            <w:tcMar>
              <w:top w:w="0" w:type="dxa"/>
              <w:left w:w="108" w:type="dxa"/>
              <w:bottom w:w="0" w:type="dxa"/>
              <w:right w:w="108" w:type="dxa"/>
            </w:tcMar>
            <w:vAlign w:val="center"/>
          </w:tcPr>
          <w:p w14:paraId="3D6AADFB">
            <w:pPr>
              <w:widowControl/>
              <w:spacing w:line="320" w:lineRule="atLeast"/>
              <w:jc w:val="center"/>
              <w:rPr>
                <w:rFonts w:hint="eastAsia" w:ascii="仿宋" w:hAnsi="仿宋" w:eastAsia="仿宋" w:cs="仿宋"/>
                <w:kern w:val="0"/>
                <w:sz w:val="24"/>
                <w:szCs w:val="24"/>
                <w:lang w:eastAsia="zh-CN"/>
              </w:rPr>
            </w:pPr>
            <w:r>
              <w:rPr>
                <w:rFonts w:hint="eastAsia" w:ascii="仿宋_GB2312" w:hAnsi="Times New Roman" w:eastAsia="仿宋_GB2312" w:cs="Times New Roman"/>
                <w:sz w:val="24"/>
                <w:szCs w:val="24"/>
                <w:lang w:val="en-US" w:eastAsia="zh-CN"/>
              </w:rPr>
              <w:t>效益指标（20分）</w:t>
            </w: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EBBB1A5">
            <w:pPr>
              <w:widowControl/>
              <w:spacing w:line="320" w:lineRule="atLeast"/>
              <w:jc w:val="left"/>
              <w:rPr>
                <w:rFonts w:hint="eastAsia" w:ascii="仿宋" w:hAnsi="仿宋" w:eastAsia="仿宋" w:cs="仿宋"/>
                <w:kern w:val="0"/>
                <w:sz w:val="24"/>
                <w:szCs w:val="24"/>
                <w:lang w:eastAsia="zh-CN"/>
              </w:rPr>
            </w:pPr>
            <w:r>
              <w:rPr>
                <w:rFonts w:hint="eastAsia" w:ascii="仿宋" w:hAnsi="仿宋" w:eastAsia="仿宋" w:cs="仿宋"/>
                <w:color w:val="000000"/>
                <w:kern w:val="0"/>
                <w:sz w:val="24"/>
                <w:szCs w:val="24"/>
              </w:rPr>
              <w:t>经济效益</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4分</w:t>
            </w:r>
            <w:r>
              <w:rPr>
                <w:rFonts w:hint="eastAsia" w:ascii="仿宋" w:hAnsi="仿宋" w:eastAsia="仿宋" w:cs="仿宋"/>
                <w:color w:val="000000"/>
                <w:kern w:val="0"/>
                <w:sz w:val="24"/>
                <w:szCs w:val="24"/>
                <w:lang w:eastAsia="zh-CN"/>
              </w:rPr>
              <w:t>）</w:t>
            </w:r>
          </w:p>
        </w:tc>
        <w:tc>
          <w:tcPr>
            <w:tcW w:w="202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1FD9CD0">
            <w:pPr>
              <w:widowControl/>
              <w:spacing w:line="320" w:lineRule="atLeast"/>
              <w:jc w:val="left"/>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rPr>
              <w:t>粮食产量增产增收</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DE5CA7D">
            <w:pPr>
              <w:widowControl/>
              <w:spacing w:line="320" w:lineRule="atLeast"/>
              <w:jc w:val="left"/>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保障了堤防和涵闸的正常运行，从而提高了防洪除涝能力，减少了洪涝灾害对农业生产的损失。这有助于促进农业的稳定发展，提高粮食产量，实现增产增收。</w:t>
            </w:r>
          </w:p>
        </w:tc>
        <w:tc>
          <w:tcPr>
            <w:tcW w:w="21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198F9F1">
            <w:pPr>
              <w:widowControl/>
              <w:spacing w:line="320" w:lineRule="atLeast"/>
              <w:jc w:val="left"/>
              <w:rPr>
                <w:rFonts w:hint="eastAsia" w:ascii="仿宋_GB2312" w:hAnsi="Times New Roman" w:eastAsia="仿宋_GB2312" w:cs="Times New Roman"/>
                <w:sz w:val="24"/>
                <w:szCs w:val="24"/>
                <w:lang w:val="en-US" w:eastAsia="zh-CN"/>
              </w:rPr>
            </w:pPr>
            <w:r>
              <w:rPr>
                <w:rFonts w:hint="default" w:ascii="仿宋_GB2312" w:hAnsi="Times New Roman" w:eastAsia="仿宋_GB2312" w:cs="Times New Roman"/>
                <w:sz w:val="24"/>
                <w:szCs w:val="24"/>
                <w:lang w:val="en-US" w:eastAsia="zh-CN"/>
              </w:rPr>
              <w:t>1</w:t>
            </w:r>
            <w:r>
              <w:rPr>
                <w:rFonts w:hint="eastAsia" w:ascii="仿宋_GB2312" w:hAnsi="Times New Roman" w:eastAsia="仿宋_GB2312" w:cs="Times New Roman"/>
                <w:sz w:val="24"/>
                <w:szCs w:val="24"/>
                <w:lang w:val="en-US" w:eastAsia="zh-CN"/>
              </w:rPr>
              <w:t>）提高防洪能力节省劳动力：</w:t>
            </w:r>
          </w:p>
          <w:p w14:paraId="4ABBB46C">
            <w:pPr>
              <w:widowControl/>
              <w:spacing w:line="320" w:lineRule="atLeast"/>
              <w:jc w:val="left"/>
              <w:rPr>
                <w:rFonts w:hint="default" w:ascii="仿宋_GB2312" w:hAnsi="Times New Roman" w:eastAsia="仿宋_GB2312" w:cs="Times New Roman"/>
                <w:sz w:val="24"/>
                <w:szCs w:val="24"/>
                <w:lang w:val="en-US" w:eastAsia="zh-CN"/>
              </w:rPr>
            </w:pPr>
            <w:r>
              <w:rPr>
                <w:rFonts w:hint="default" w:ascii="仿宋_GB2312" w:hAnsi="Times New Roman" w:eastAsia="仿宋_GB2312" w:cs="Times New Roman"/>
                <w:sz w:val="24"/>
                <w:szCs w:val="24"/>
                <w:lang w:val="en-US" w:eastAsia="zh-CN"/>
              </w:rPr>
              <w:t>2</w:t>
            </w:r>
            <w:r>
              <w:rPr>
                <w:rFonts w:hint="eastAsia" w:ascii="仿宋_GB2312" w:hAnsi="Times New Roman" w:eastAsia="仿宋_GB2312" w:cs="Times New Roman"/>
                <w:sz w:val="24"/>
                <w:szCs w:val="24"/>
                <w:lang w:val="en-US" w:eastAsia="zh-CN"/>
              </w:rPr>
              <w:t>）有助于促进农业的稳定发展提高粮食产量。自评笼统提到，但没有各项数据说明。</w:t>
            </w:r>
          </w:p>
          <w:p w14:paraId="6A589598">
            <w:pPr>
              <w:widowControl/>
              <w:spacing w:line="320" w:lineRule="atLeast"/>
              <w:jc w:val="left"/>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得3分</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FCCA3B9">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color w:val="000000"/>
                <w:kern w:val="0"/>
                <w:sz w:val="24"/>
                <w:szCs w:val="24"/>
                <w:lang w:val="en-US" w:eastAsia="zh-CN"/>
              </w:rPr>
              <w:t>3</w:t>
            </w:r>
          </w:p>
        </w:tc>
      </w:tr>
      <w:tr w14:paraId="16D59CF4">
        <w:tblPrEx>
          <w:tblCellMar>
            <w:top w:w="0" w:type="dxa"/>
            <w:left w:w="0" w:type="dxa"/>
            <w:bottom w:w="0" w:type="dxa"/>
            <w:right w:w="0" w:type="dxa"/>
          </w:tblCellMar>
        </w:tblPrEx>
        <w:trPr>
          <w:trHeight w:val="1137" w:hRule="atLeast"/>
          <w:jc w:val="center"/>
        </w:trPr>
        <w:tc>
          <w:tcPr>
            <w:tcW w:w="861" w:type="dxa"/>
            <w:vMerge w:val="continue"/>
            <w:tcBorders>
              <w:left w:val="single" w:color="000000" w:sz="8" w:space="0"/>
              <w:right w:val="single" w:color="000000" w:sz="8" w:space="0"/>
            </w:tcBorders>
            <w:shd w:val="clear" w:color="auto" w:fill="auto"/>
            <w:noWrap w:val="0"/>
            <w:vAlign w:val="center"/>
          </w:tcPr>
          <w:p w14:paraId="37383BBF">
            <w:pPr>
              <w:widowControl/>
              <w:jc w:val="left"/>
              <w:rPr>
                <w:rFonts w:hint="eastAsia" w:ascii="仿宋" w:hAnsi="仿宋" w:eastAsia="仿宋" w:cs="仿宋"/>
                <w:kern w:val="0"/>
                <w:sz w:val="24"/>
                <w:szCs w:val="24"/>
              </w:rPr>
            </w:pP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D592C4F">
            <w:pPr>
              <w:widowControl/>
              <w:spacing w:line="320" w:lineRule="atLeast"/>
              <w:jc w:val="left"/>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社会效益（4分）</w:t>
            </w:r>
          </w:p>
        </w:tc>
        <w:tc>
          <w:tcPr>
            <w:tcW w:w="202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9C21094">
            <w:pPr>
              <w:widowControl/>
              <w:spacing w:line="320" w:lineRule="atLeast"/>
              <w:jc w:val="left"/>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防洪除涝能力显著提高</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06878B86">
            <w:pPr>
              <w:widowControl/>
              <w:spacing w:line="320" w:lineRule="atLeast"/>
              <w:jc w:val="left"/>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通过加强堤防和涵闸的维护管理，提高了防洪除涝能力，保障了人民生命财产安全。同时，项目的实施还有助于维护河势稳定，保障通航及涉河工程安全</w:t>
            </w:r>
          </w:p>
        </w:tc>
        <w:tc>
          <w:tcPr>
            <w:tcW w:w="21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FD76B61">
            <w:pPr>
              <w:widowControl/>
              <w:spacing w:line="320" w:lineRule="atLeast"/>
              <w:jc w:val="left"/>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w:t>
            </w:r>
            <w:r>
              <w:rPr>
                <w:rFonts w:hint="default" w:ascii="仿宋_GB2312" w:hAnsi="Times New Roman" w:eastAsia="仿宋_GB2312" w:cs="Times New Roman"/>
                <w:sz w:val="24"/>
                <w:szCs w:val="24"/>
                <w:lang w:val="en-US" w:eastAsia="zh-CN"/>
              </w:rPr>
              <w:t>1</w:t>
            </w:r>
            <w:r>
              <w:rPr>
                <w:rFonts w:hint="eastAsia" w:ascii="仿宋_GB2312" w:hAnsi="Times New Roman" w:eastAsia="仿宋_GB2312" w:cs="Times New Roman"/>
                <w:sz w:val="24"/>
                <w:szCs w:val="24"/>
                <w:lang w:val="en-US" w:eastAsia="zh-CN"/>
              </w:rPr>
              <w:t>）提高防洪除涝能力；</w:t>
            </w:r>
          </w:p>
          <w:p w14:paraId="4E6AFD38">
            <w:pPr>
              <w:widowControl/>
              <w:spacing w:line="320" w:lineRule="atLeast"/>
              <w:jc w:val="left"/>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（2）维护河势稳定，保障通航及涉河工程安全；</w:t>
            </w:r>
          </w:p>
          <w:p w14:paraId="352D5F8D">
            <w:pPr>
              <w:widowControl/>
              <w:spacing w:line="320" w:lineRule="atLeast"/>
              <w:jc w:val="left"/>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（3）保障了人民生命财产安全。</w:t>
            </w:r>
            <w:r>
              <w:rPr>
                <w:rFonts w:hint="eastAsia" w:ascii="仿宋_GB2312" w:eastAsia="仿宋_GB2312" w:cs="Times New Roman"/>
                <w:sz w:val="24"/>
                <w:szCs w:val="24"/>
                <w:lang w:val="en-US" w:eastAsia="zh-CN"/>
              </w:rPr>
              <w:t>自评</w:t>
            </w:r>
            <w:r>
              <w:rPr>
                <w:rFonts w:hint="eastAsia" w:ascii="仿宋_GB2312" w:hAnsi="Times New Roman" w:eastAsia="仿宋_GB2312" w:cs="Times New Roman"/>
                <w:sz w:val="24"/>
                <w:szCs w:val="24"/>
                <w:lang w:val="en-US" w:eastAsia="zh-CN"/>
              </w:rPr>
              <w:t>没有提到带来</w:t>
            </w:r>
            <w:r>
              <w:rPr>
                <w:rFonts w:hint="eastAsia" w:ascii="仿宋_GB2312" w:eastAsia="仿宋_GB2312" w:cs="Times New Roman"/>
                <w:sz w:val="24"/>
                <w:szCs w:val="24"/>
                <w:lang w:val="en-US" w:eastAsia="zh-CN"/>
              </w:rPr>
              <w:t>哪些</w:t>
            </w:r>
            <w:r>
              <w:rPr>
                <w:rFonts w:hint="eastAsia" w:ascii="仿宋_GB2312" w:hAnsi="Times New Roman" w:eastAsia="仿宋_GB2312" w:cs="Times New Roman"/>
                <w:sz w:val="24"/>
                <w:szCs w:val="24"/>
                <w:lang w:val="en-US" w:eastAsia="zh-CN"/>
              </w:rPr>
              <w:t>社会效益</w:t>
            </w:r>
          </w:p>
          <w:p w14:paraId="3C6EAE99">
            <w:pPr>
              <w:widowControl/>
              <w:spacing w:line="320" w:lineRule="atLeast"/>
              <w:jc w:val="left"/>
              <w:rPr>
                <w:rFonts w:hint="default" w:ascii="仿宋" w:hAnsi="仿宋" w:eastAsia="仿宋" w:cs="仿宋"/>
                <w:kern w:val="0"/>
                <w:sz w:val="24"/>
                <w:szCs w:val="24"/>
                <w:lang w:val="en-US"/>
              </w:rPr>
            </w:pPr>
            <w:r>
              <w:rPr>
                <w:rFonts w:hint="eastAsia" w:ascii="仿宋_GB2312" w:hAnsi="Times New Roman" w:eastAsia="仿宋_GB2312" w:cs="Times New Roman"/>
                <w:sz w:val="24"/>
                <w:szCs w:val="24"/>
                <w:lang w:val="en-US" w:eastAsia="zh-CN"/>
              </w:rPr>
              <w:t>得3分</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9B2855D">
            <w:pPr>
              <w:widowControl/>
              <w:spacing w:line="320" w:lineRule="atLeast"/>
              <w:jc w:val="center"/>
              <w:rPr>
                <w:rFonts w:hint="eastAsia" w:ascii="仿宋" w:hAnsi="仿宋" w:eastAsia="仿宋" w:cs="仿宋"/>
                <w:kern w:val="0"/>
                <w:sz w:val="24"/>
                <w:szCs w:val="24"/>
                <w:lang w:eastAsia="zh-CN"/>
              </w:rPr>
            </w:pPr>
            <w:r>
              <w:rPr>
                <w:rFonts w:hint="eastAsia" w:ascii="仿宋_GB2312" w:hAnsi="Times New Roman" w:eastAsia="仿宋_GB2312" w:cs="Times New Roman"/>
                <w:sz w:val="24"/>
                <w:szCs w:val="24"/>
                <w:lang w:val="en-US" w:eastAsia="zh-CN"/>
              </w:rPr>
              <w:t>3</w:t>
            </w:r>
          </w:p>
        </w:tc>
      </w:tr>
      <w:tr w14:paraId="712B2884">
        <w:tblPrEx>
          <w:tblCellMar>
            <w:top w:w="0" w:type="dxa"/>
            <w:left w:w="0" w:type="dxa"/>
            <w:bottom w:w="0" w:type="dxa"/>
            <w:right w:w="0" w:type="dxa"/>
          </w:tblCellMar>
        </w:tblPrEx>
        <w:trPr>
          <w:trHeight w:val="780" w:hRule="atLeast"/>
          <w:jc w:val="center"/>
        </w:trPr>
        <w:tc>
          <w:tcPr>
            <w:tcW w:w="861" w:type="dxa"/>
            <w:vMerge w:val="continue"/>
            <w:tcBorders>
              <w:left w:val="single" w:color="000000" w:sz="8" w:space="0"/>
              <w:right w:val="single" w:color="000000" w:sz="8" w:space="0"/>
            </w:tcBorders>
            <w:shd w:val="clear" w:color="auto" w:fill="auto"/>
            <w:noWrap w:val="0"/>
            <w:vAlign w:val="center"/>
          </w:tcPr>
          <w:p w14:paraId="627F9057">
            <w:pPr>
              <w:widowControl/>
              <w:jc w:val="left"/>
              <w:rPr>
                <w:rFonts w:hint="eastAsia" w:ascii="仿宋" w:hAnsi="仿宋" w:eastAsia="仿宋" w:cs="仿宋"/>
                <w:kern w:val="0"/>
                <w:sz w:val="24"/>
                <w:szCs w:val="24"/>
              </w:rPr>
            </w:pP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01A6D3A2">
            <w:pPr>
              <w:widowControl/>
              <w:spacing w:line="320" w:lineRule="atLeast"/>
              <w:jc w:val="left"/>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生态效益（4）</w:t>
            </w:r>
          </w:p>
        </w:tc>
        <w:tc>
          <w:tcPr>
            <w:tcW w:w="202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0D471DB">
            <w:pPr>
              <w:widowControl/>
              <w:spacing w:line="320" w:lineRule="atLeast"/>
              <w:jc w:val="left"/>
              <w:rPr>
                <w:rFonts w:hint="eastAsia" w:ascii="仿宋" w:hAnsi="仿宋" w:eastAsia="仿宋" w:cs="仿宋"/>
                <w:kern w:val="0"/>
                <w:sz w:val="24"/>
                <w:szCs w:val="24"/>
              </w:rPr>
            </w:pPr>
            <w:r>
              <w:rPr>
                <w:rFonts w:hint="eastAsia" w:ascii="仿宋_GB2312" w:hAnsi="Times New Roman" w:eastAsia="仿宋_GB2312" w:cs="Times New Roman"/>
                <w:sz w:val="24"/>
                <w:szCs w:val="24"/>
                <w:lang w:val="en-US" w:eastAsia="zh-CN"/>
              </w:rPr>
              <w:t>是否对生态环境造成不利影响</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076B135">
            <w:pPr>
              <w:widowControl/>
              <w:spacing w:line="320" w:lineRule="atLeast"/>
              <w:jc w:val="left"/>
              <w:rPr>
                <w:rFonts w:hint="default" w:ascii="仿宋" w:hAnsi="仿宋" w:eastAsia="仿宋" w:cs="仿宋"/>
                <w:kern w:val="0"/>
                <w:sz w:val="24"/>
                <w:szCs w:val="24"/>
                <w:lang w:val="en-US" w:eastAsia="zh-CN"/>
              </w:rPr>
            </w:pPr>
            <w:r>
              <w:rPr>
                <w:rFonts w:hint="default" w:ascii="仿宋_GB2312" w:hAnsi="Times New Roman" w:eastAsia="仿宋_GB2312" w:cs="Times New Roman"/>
                <w:sz w:val="24"/>
                <w:szCs w:val="24"/>
                <w:lang w:val="en-US" w:eastAsia="zh-CN"/>
              </w:rPr>
              <w:t>加强水利工程的维护管理，减少了因水利工程失修而对生态环境造成的不利影响。同时，项目的实施还有助于保护水资源，提高水生态环境质量</w:t>
            </w:r>
          </w:p>
        </w:tc>
        <w:tc>
          <w:tcPr>
            <w:tcW w:w="21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5C7988FE">
            <w:pPr>
              <w:widowControl/>
              <w:spacing w:line="320" w:lineRule="atLeast"/>
              <w:jc w:val="left"/>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自评中提到显著提高，但没有具体量化，得3分</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BE5F993">
            <w:pPr>
              <w:widowControl/>
              <w:spacing w:line="320" w:lineRule="atLeast"/>
              <w:jc w:val="center"/>
              <w:rPr>
                <w:rFonts w:hint="default" w:ascii="仿宋" w:hAnsi="仿宋" w:eastAsia="仿宋" w:cs="仿宋"/>
                <w:kern w:val="0"/>
                <w:sz w:val="24"/>
                <w:szCs w:val="24"/>
                <w:lang w:val="en-US" w:eastAsia="zh-CN"/>
              </w:rPr>
            </w:pPr>
            <w:r>
              <w:rPr>
                <w:rFonts w:hint="eastAsia" w:ascii="仿宋_GB2312" w:hAnsi="Times New Roman" w:eastAsia="仿宋_GB2312" w:cs="Times New Roman"/>
                <w:sz w:val="24"/>
                <w:szCs w:val="24"/>
                <w:lang w:val="en-US" w:eastAsia="zh-CN"/>
              </w:rPr>
              <w:t>3</w:t>
            </w:r>
          </w:p>
        </w:tc>
      </w:tr>
      <w:tr w14:paraId="11D741C3">
        <w:tblPrEx>
          <w:tblCellMar>
            <w:top w:w="0" w:type="dxa"/>
            <w:left w:w="0" w:type="dxa"/>
            <w:bottom w:w="0" w:type="dxa"/>
            <w:right w:w="0" w:type="dxa"/>
          </w:tblCellMar>
        </w:tblPrEx>
        <w:trPr>
          <w:trHeight w:val="1137" w:hRule="atLeast"/>
          <w:jc w:val="center"/>
        </w:trPr>
        <w:tc>
          <w:tcPr>
            <w:tcW w:w="861" w:type="dxa"/>
            <w:vMerge w:val="continue"/>
            <w:tcBorders>
              <w:left w:val="single" w:color="000000" w:sz="8" w:space="0"/>
              <w:right w:val="single" w:color="000000" w:sz="8" w:space="0"/>
            </w:tcBorders>
            <w:shd w:val="clear" w:color="auto" w:fill="auto"/>
            <w:noWrap w:val="0"/>
            <w:vAlign w:val="center"/>
          </w:tcPr>
          <w:p w14:paraId="05DF17D0">
            <w:pPr>
              <w:widowControl/>
              <w:jc w:val="left"/>
              <w:rPr>
                <w:rFonts w:hint="eastAsia" w:ascii="仿宋" w:hAnsi="仿宋" w:eastAsia="仿宋" w:cs="仿宋"/>
                <w:kern w:val="0"/>
                <w:sz w:val="24"/>
                <w:szCs w:val="24"/>
              </w:rPr>
            </w:pPr>
          </w:p>
        </w:tc>
        <w:tc>
          <w:tcPr>
            <w:tcW w:w="840" w:type="dxa"/>
            <w:tcBorders>
              <w:top w:val="nil"/>
              <w:left w:val="nil"/>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61934BCB">
            <w:pPr>
              <w:widowControl/>
              <w:spacing w:line="320" w:lineRule="atLeast"/>
              <w:jc w:val="left"/>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可持续影响指标（4分）</w:t>
            </w:r>
          </w:p>
        </w:tc>
        <w:tc>
          <w:tcPr>
            <w:tcW w:w="2026"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DC9B935">
            <w:pPr>
              <w:widowControl/>
              <w:spacing w:line="320" w:lineRule="atLeast"/>
              <w:jc w:val="left"/>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国有资产发挥效益能力保持稳定</w:t>
            </w:r>
          </w:p>
        </w:tc>
        <w:tc>
          <w:tcPr>
            <w:tcW w:w="24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28ECCD0">
            <w:pPr>
              <w:widowControl/>
              <w:spacing w:line="320" w:lineRule="atLeast"/>
              <w:jc w:val="left"/>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通过加强堤防和涵闸的维护管理，保障了水利工程的长期稳定运行。这有助于发挥水利工程的长期效益，提高国有资产发挥效益能力。</w:t>
            </w:r>
          </w:p>
        </w:tc>
        <w:tc>
          <w:tcPr>
            <w:tcW w:w="2119"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47CD1FC">
            <w:pPr>
              <w:widowControl/>
              <w:spacing w:line="320" w:lineRule="atLeast"/>
              <w:jc w:val="left"/>
              <w:rPr>
                <w:rFonts w:hint="default"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保障了水利工程的长期稳定运行；发挥水利工程的长期效益.得4分</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938F578">
            <w:pPr>
              <w:widowControl/>
              <w:spacing w:line="320" w:lineRule="atLeast"/>
              <w:jc w:val="center"/>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4</w:t>
            </w:r>
          </w:p>
        </w:tc>
      </w:tr>
      <w:tr w14:paraId="105A5EB5">
        <w:tblPrEx>
          <w:tblCellMar>
            <w:top w:w="0" w:type="dxa"/>
            <w:left w:w="0" w:type="dxa"/>
            <w:bottom w:w="0" w:type="dxa"/>
            <w:right w:w="0" w:type="dxa"/>
          </w:tblCellMar>
        </w:tblPrEx>
        <w:trPr>
          <w:trHeight w:val="672" w:hRule="atLeast"/>
          <w:jc w:val="center"/>
        </w:trPr>
        <w:tc>
          <w:tcPr>
            <w:tcW w:w="861" w:type="dxa"/>
            <w:vMerge w:val="continue"/>
            <w:tcBorders>
              <w:left w:val="single" w:color="000000" w:sz="8" w:space="0"/>
              <w:bottom w:val="nil"/>
              <w:right w:val="single" w:color="000000" w:sz="8" w:space="0"/>
            </w:tcBorders>
            <w:shd w:val="clear" w:color="auto" w:fill="auto"/>
            <w:noWrap w:val="0"/>
            <w:tcMar>
              <w:top w:w="0" w:type="dxa"/>
              <w:left w:w="108" w:type="dxa"/>
              <w:bottom w:w="0" w:type="dxa"/>
              <w:right w:w="108" w:type="dxa"/>
            </w:tcMar>
            <w:vAlign w:val="center"/>
          </w:tcPr>
          <w:p w14:paraId="29319C2C">
            <w:pPr>
              <w:widowControl/>
              <w:spacing w:line="320" w:lineRule="atLeast"/>
              <w:jc w:val="center"/>
              <w:rPr>
                <w:rFonts w:hint="eastAsia" w:ascii="仿宋" w:hAnsi="仿宋" w:eastAsia="仿宋" w:cs="仿宋"/>
                <w:kern w:val="0"/>
                <w:sz w:val="24"/>
                <w:szCs w:val="24"/>
              </w:rPr>
            </w:pPr>
          </w:p>
        </w:tc>
        <w:tc>
          <w:tcPr>
            <w:tcW w:w="840" w:type="dxa"/>
            <w:tcBorders>
              <w:top w:val="single" w:color="000000" w:sz="8" w:space="0"/>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4362E842">
            <w:pPr>
              <w:widowControl/>
              <w:spacing w:line="320" w:lineRule="atLeast"/>
              <w:jc w:val="left"/>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满意度（4分）</w:t>
            </w:r>
          </w:p>
        </w:tc>
        <w:tc>
          <w:tcPr>
            <w:tcW w:w="202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4187BDEA">
            <w:pPr>
              <w:widowControl/>
              <w:spacing w:line="320" w:lineRule="atLeast"/>
              <w:jc w:val="left"/>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公众满意度</w:t>
            </w:r>
          </w:p>
        </w:tc>
        <w:tc>
          <w:tcPr>
            <w:tcW w:w="2419"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32DBBBD2">
            <w:pPr>
              <w:widowControl/>
              <w:spacing w:line="320" w:lineRule="atLeast"/>
              <w:jc w:val="left"/>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防洪除涝能力，保障人民生命财产安全，促进农业稳定发展。这将有助于提高受益人的满意度</w:t>
            </w:r>
          </w:p>
        </w:tc>
        <w:tc>
          <w:tcPr>
            <w:tcW w:w="2119"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677A7013">
            <w:pPr>
              <w:widowControl/>
              <w:spacing w:line="320" w:lineRule="atLeast"/>
              <w:jc w:val="left"/>
              <w:textAlignment w:val="center"/>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小于95%大于90%扣1分</w:t>
            </w:r>
          </w:p>
        </w:tc>
        <w:tc>
          <w:tcPr>
            <w:tcW w:w="765"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153060A3">
            <w:pPr>
              <w:widowControl/>
              <w:spacing w:line="320" w:lineRule="atLeast"/>
              <w:jc w:val="center"/>
              <w:rPr>
                <w:rFonts w:hint="default"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3</w:t>
            </w:r>
          </w:p>
        </w:tc>
      </w:tr>
      <w:tr w14:paraId="4633B633">
        <w:tblPrEx>
          <w:tblCellMar>
            <w:top w:w="0" w:type="dxa"/>
            <w:left w:w="0" w:type="dxa"/>
            <w:bottom w:w="0" w:type="dxa"/>
            <w:right w:w="0" w:type="dxa"/>
          </w:tblCellMar>
        </w:tblPrEx>
        <w:trPr>
          <w:trHeight w:val="672" w:hRule="atLeast"/>
          <w:jc w:val="center"/>
        </w:trPr>
        <w:tc>
          <w:tcPr>
            <w:tcW w:w="8265" w:type="dxa"/>
            <w:gridSpan w:val="5"/>
            <w:tcBorders>
              <w:top w:val="nil"/>
              <w:left w:val="single" w:color="000000" w:sz="8" w:space="0"/>
              <w:bottom w:val="single" w:color="000000" w:sz="8" w:space="0"/>
              <w:right w:val="single" w:color="000000" w:sz="8" w:space="0"/>
            </w:tcBorders>
            <w:shd w:val="clear" w:color="auto" w:fill="auto"/>
            <w:noWrap w:val="0"/>
            <w:tcMar>
              <w:top w:w="0" w:type="dxa"/>
              <w:left w:w="108" w:type="dxa"/>
              <w:bottom w:w="0" w:type="dxa"/>
              <w:right w:w="108" w:type="dxa"/>
            </w:tcMar>
            <w:vAlign w:val="center"/>
          </w:tcPr>
          <w:p w14:paraId="5E4F8889">
            <w:pPr>
              <w:widowControl/>
              <w:spacing w:line="320" w:lineRule="atLeast"/>
              <w:jc w:val="center"/>
              <w:rPr>
                <w:rFonts w:hint="eastAsia"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小计</w:t>
            </w:r>
          </w:p>
        </w:tc>
        <w:tc>
          <w:tcPr>
            <w:tcW w:w="765" w:type="dxa"/>
            <w:tcBorders>
              <w:top w:val="nil"/>
              <w:left w:val="nil"/>
              <w:bottom w:val="single" w:color="000000" w:sz="8" w:space="0"/>
              <w:right w:val="single" w:color="000000" w:sz="8" w:space="0"/>
            </w:tcBorders>
            <w:shd w:val="clear" w:color="auto" w:fill="FFFFFF"/>
            <w:noWrap w:val="0"/>
            <w:tcMar>
              <w:top w:w="0" w:type="dxa"/>
              <w:left w:w="108" w:type="dxa"/>
              <w:bottom w:w="0" w:type="dxa"/>
              <w:right w:w="108" w:type="dxa"/>
            </w:tcMar>
            <w:vAlign w:val="center"/>
          </w:tcPr>
          <w:p w14:paraId="252F80AD">
            <w:pPr>
              <w:widowControl/>
              <w:spacing w:line="320" w:lineRule="atLeast"/>
              <w:jc w:val="center"/>
              <w:rPr>
                <w:rFonts w:hint="default" w:ascii="仿宋" w:hAnsi="仿宋" w:eastAsia="仿宋" w:cs="仿宋"/>
                <w:kern w:val="0"/>
                <w:sz w:val="24"/>
                <w:szCs w:val="24"/>
                <w:lang w:val="en-US" w:eastAsia="zh-CN" w:bidi="ar-SA"/>
              </w:rPr>
            </w:pPr>
            <w:r>
              <w:rPr>
                <w:rFonts w:hint="eastAsia" w:ascii="仿宋_GB2312" w:hAnsi="Times New Roman" w:eastAsia="仿宋_GB2312" w:cs="Times New Roman"/>
                <w:sz w:val="24"/>
                <w:szCs w:val="24"/>
                <w:lang w:val="en-US" w:eastAsia="zh-CN"/>
              </w:rPr>
              <w:t>16</w:t>
            </w:r>
          </w:p>
        </w:tc>
      </w:tr>
    </w:tbl>
    <w:p w14:paraId="33A9BFF0">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1.粮食产量增产增收</w:t>
      </w:r>
    </w:p>
    <w:p w14:paraId="2A250BEE">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指标解释：项目实施对经济发展所带来的直接或间接影响情况</w:t>
      </w:r>
      <w:r>
        <w:rPr>
          <w:rFonts w:hint="eastAsia" w:ascii="仿宋_GB2312" w:hAnsi="Times New Roman" w:eastAsia="仿宋_GB2312" w:cs="Times New Roman"/>
          <w:sz w:val="24"/>
          <w:szCs w:val="24"/>
          <w:lang w:val="en-US" w:eastAsia="zh-CN"/>
        </w:rPr>
        <w:t>如粮食产量增产增收</w:t>
      </w:r>
      <w:r>
        <w:rPr>
          <w:rFonts w:hint="eastAsia" w:ascii="仿宋_GB2312" w:hAnsi="Times New Roman" w:eastAsia="仿宋_GB2312" w:cs="Times New Roman"/>
          <w:sz w:val="24"/>
          <w:szCs w:val="24"/>
        </w:rPr>
        <w:t>。</w:t>
      </w:r>
    </w:p>
    <w:p w14:paraId="2BA3CB70">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评分情况：</w:t>
      </w:r>
      <w:r>
        <w:rPr>
          <w:rFonts w:hint="eastAsia" w:ascii="仿宋_GB2312" w:hAnsi="Times New Roman" w:eastAsia="仿宋_GB2312" w:cs="Times New Roman"/>
          <w:sz w:val="24"/>
          <w:szCs w:val="24"/>
          <w:lang w:val="en-US" w:eastAsia="zh-CN"/>
        </w:rPr>
        <w:t>保障了堤防和涵闸的正常运行，从而提高了防洪除涝能力，减少了洪涝灾害对农业生产的损失。这有助于促进农业的稳定发展，提高粮食产量，实现增产增收。但查阅相关文件没有提到粮食产量等具体指标，只有自评报告中提了。</w:t>
      </w:r>
      <w:r>
        <w:rPr>
          <w:rFonts w:hint="eastAsia" w:ascii="仿宋_GB2312" w:hAnsi="Times New Roman" w:eastAsia="仿宋_GB2312" w:cs="Times New Roman"/>
          <w:sz w:val="24"/>
          <w:szCs w:val="24"/>
        </w:rPr>
        <w:t>该指标满分</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rPr>
        <w:t>分，得分</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分，得分率</w:t>
      </w:r>
      <w:r>
        <w:rPr>
          <w:rFonts w:hint="eastAsia" w:ascii="仿宋_GB2312" w:hAnsi="Times New Roman" w:eastAsia="仿宋_GB2312" w:cs="Times New Roman"/>
          <w:sz w:val="24"/>
          <w:szCs w:val="24"/>
          <w:lang w:val="en-US" w:eastAsia="zh-CN"/>
        </w:rPr>
        <w:t>75.00</w:t>
      </w:r>
      <w:r>
        <w:rPr>
          <w:rFonts w:hint="eastAsia" w:ascii="仿宋_GB2312" w:hAnsi="Times New Roman" w:eastAsia="仿宋_GB2312" w:cs="Times New Roman"/>
          <w:sz w:val="24"/>
          <w:szCs w:val="24"/>
        </w:rPr>
        <w:t>%。</w:t>
      </w:r>
    </w:p>
    <w:p w14:paraId="25215A1E">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2.</w:t>
      </w:r>
      <w:r>
        <w:rPr>
          <w:rFonts w:hint="eastAsia" w:ascii="仿宋_GB2312" w:hAnsi="Times New Roman" w:eastAsia="仿宋_GB2312" w:cs="Times New Roman"/>
          <w:sz w:val="24"/>
          <w:szCs w:val="24"/>
          <w:lang w:val="en-US" w:eastAsia="zh-CN"/>
        </w:rPr>
        <w:t>防洪除涝能力显著提高</w:t>
      </w:r>
    </w:p>
    <w:p w14:paraId="77A2F019">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指标解释：项目实施对社会发展所带来的直接或间接影响情况。</w:t>
      </w:r>
    </w:p>
    <w:p w14:paraId="3C4DCF05">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评分情况：通过加强堤防和涵闸的维护管理，提高了防洪除涝能力，保障了人民生命财产安全。同时，项目的实施还有助于维护河势稳定，保障通航及涉河工程安全</w:t>
      </w:r>
      <w:r>
        <w:rPr>
          <w:rFonts w:hint="eastAsia" w:ascii="仿宋_GB2312" w:hAnsi="Times New Roman" w:eastAsia="仿宋_GB2312" w:cs="Times New Roman"/>
          <w:sz w:val="24"/>
          <w:szCs w:val="24"/>
          <w:lang w:val="en-US" w:eastAsia="zh-CN"/>
        </w:rPr>
        <w:t>。但在运营中没提到具体说明或提供凭证等相关资料。</w:t>
      </w:r>
    </w:p>
    <w:p w14:paraId="61362219">
      <w:pPr>
        <w:spacing w:line="560" w:lineRule="exact"/>
        <w:ind w:firstLine="480" w:firstLineChars="200"/>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该指标满分</w:t>
      </w:r>
      <w:r>
        <w:rPr>
          <w:rFonts w:hint="eastAsia" w:ascii="仿宋_GB2312" w:hAnsi="Times New Roman" w:eastAsia="仿宋_GB2312" w:cs="Times New Roman"/>
          <w:sz w:val="24"/>
          <w:szCs w:val="24"/>
          <w:lang w:val="en-US" w:eastAsia="zh-CN"/>
        </w:rPr>
        <w:t>4</w:t>
      </w:r>
      <w:r>
        <w:rPr>
          <w:rFonts w:hint="eastAsia" w:ascii="仿宋_GB2312" w:hAnsi="Times New Roman" w:eastAsia="仿宋_GB2312" w:cs="Times New Roman"/>
          <w:sz w:val="24"/>
          <w:szCs w:val="24"/>
        </w:rPr>
        <w:t>分，得</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分，得分率</w:t>
      </w:r>
      <w:r>
        <w:rPr>
          <w:rFonts w:hint="eastAsia" w:ascii="仿宋_GB2312" w:hAnsi="Times New Roman" w:eastAsia="仿宋_GB2312" w:cs="Times New Roman"/>
          <w:sz w:val="24"/>
          <w:szCs w:val="24"/>
          <w:lang w:val="en-US" w:eastAsia="zh-CN"/>
        </w:rPr>
        <w:t>75.00</w:t>
      </w:r>
      <w:r>
        <w:rPr>
          <w:rFonts w:hint="eastAsia" w:ascii="仿宋_GB2312" w:hAnsi="Times New Roman" w:eastAsia="仿宋_GB2312" w:cs="Times New Roman"/>
          <w:sz w:val="24"/>
          <w:szCs w:val="24"/>
        </w:rPr>
        <w:t>%。</w:t>
      </w:r>
    </w:p>
    <w:p w14:paraId="4244E308">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lang w:val="en-US" w:eastAsia="zh-CN"/>
        </w:rPr>
        <w:t>是否对生态环境造成不利影响</w:t>
      </w:r>
    </w:p>
    <w:p w14:paraId="05C4A09F">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指标解释：项目实施对生态环境所带来的直接或间接影响情况。</w:t>
      </w:r>
    </w:p>
    <w:p w14:paraId="7947BCCD">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评分情况：</w:t>
      </w:r>
      <w:r>
        <w:rPr>
          <w:rFonts w:hint="default" w:ascii="仿宋_GB2312" w:hAnsi="Times New Roman" w:eastAsia="仿宋_GB2312" w:cs="Times New Roman"/>
          <w:sz w:val="24"/>
          <w:szCs w:val="24"/>
          <w:lang w:val="en-US" w:eastAsia="zh-CN"/>
        </w:rPr>
        <w:t>加强水利工程的维护管理，减少了因水利工程失修而对生态环境造成的不利影响。同时，项目的实施还有助于保护水资源，提高水生态环境质量</w:t>
      </w:r>
      <w:r>
        <w:rPr>
          <w:rFonts w:hint="eastAsia" w:ascii="仿宋_GB2312" w:hAnsi="Times New Roman" w:eastAsia="仿宋_GB2312" w:cs="Times New Roman"/>
          <w:sz w:val="24"/>
          <w:szCs w:val="24"/>
          <w:lang w:val="en-US" w:eastAsia="zh-CN"/>
        </w:rPr>
        <w:t>。自评中提到显著提高，但没有具体量化</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该指标满分4分，得3分，得分率75.00%。</w:t>
      </w:r>
    </w:p>
    <w:p w14:paraId="7E632015">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lang w:val="en-US" w:eastAsia="zh-CN"/>
        </w:rPr>
        <w:t>可持续性-国有资产发挥效益能力保持稳定</w:t>
      </w:r>
    </w:p>
    <w:p w14:paraId="11DA5BBF">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指标解释：项目实施后期产生的可持续性影响所带来的直接或间接影响情况。</w:t>
      </w:r>
    </w:p>
    <w:p w14:paraId="60CF1EA5">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评分情况：提高国有资产使用效益，有效的堤防和涵闸管理可以延长设备的使用寿命，提高国有资产的使用效益；促进区域经济发展:良好的水利设施条件有助于吸引投资，促进区域经济的发展。</w:t>
      </w:r>
    </w:p>
    <w:p w14:paraId="017873B8">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该指标满分4分，得4分，得分率100.00%。</w:t>
      </w:r>
    </w:p>
    <w:p w14:paraId="1D389F5F">
      <w:pPr>
        <w:spacing w:line="560" w:lineRule="exact"/>
        <w:ind w:firstLine="480" w:firstLineChars="200"/>
        <w:rPr>
          <w:rFonts w:ascii="仿宋_GB2312" w:hAnsi="Times New Roman" w:eastAsia="仿宋_GB2312" w:cs="Times New Roman"/>
          <w:sz w:val="24"/>
          <w:szCs w:val="24"/>
        </w:rPr>
      </w:pPr>
      <w:r>
        <w:rPr>
          <w:rFonts w:hint="eastAsia" w:ascii="仿宋_GB2312" w:eastAsia="仿宋_GB2312" w:cs="Times New Roman"/>
          <w:sz w:val="24"/>
          <w:szCs w:val="24"/>
          <w:lang w:val="en-US" w:eastAsia="zh-CN"/>
        </w:rPr>
        <w:t>5</w:t>
      </w:r>
      <w:r>
        <w:rPr>
          <w:rFonts w:hint="eastAsia" w:ascii="仿宋_GB2312" w:hAnsi="Times New Roman" w:eastAsia="仿宋_GB2312" w:cs="Times New Roman"/>
          <w:sz w:val="24"/>
          <w:szCs w:val="24"/>
        </w:rPr>
        <w:t>.满意度</w:t>
      </w:r>
    </w:p>
    <w:p w14:paraId="7D97CA09">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指标解释：服务对象满意度。</w:t>
      </w:r>
    </w:p>
    <w:p w14:paraId="74BE7FCC">
      <w:pPr>
        <w:spacing w:line="56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评分情况：通过电话回访服务对象，综合政务网站上群众反馈意见，满意度为9</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%。该指标满分</w:t>
      </w:r>
      <w:r>
        <w:rPr>
          <w:rFonts w:hint="eastAsia" w:ascii="仿宋_GB2312" w:eastAsia="仿宋_GB2312" w:cs="Times New Roman"/>
          <w:sz w:val="24"/>
          <w:szCs w:val="24"/>
          <w:lang w:val="en-US" w:eastAsia="zh-CN"/>
        </w:rPr>
        <w:t>4</w:t>
      </w:r>
      <w:r>
        <w:rPr>
          <w:rFonts w:hint="eastAsia" w:ascii="仿宋_GB2312" w:hAnsi="Times New Roman" w:eastAsia="仿宋_GB2312" w:cs="Times New Roman"/>
          <w:sz w:val="24"/>
          <w:szCs w:val="24"/>
        </w:rPr>
        <w:t>分，得分</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分，得分率</w:t>
      </w:r>
      <w:r>
        <w:rPr>
          <w:rFonts w:hint="eastAsia" w:ascii="仿宋_GB2312" w:eastAsia="仿宋_GB2312" w:cs="Times New Roman"/>
          <w:sz w:val="24"/>
          <w:szCs w:val="24"/>
          <w:lang w:val="en-US" w:eastAsia="zh-CN"/>
        </w:rPr>
        <w:t>75</w:t>
      </w:r>
      <w:r>
        <w:rPr>
          <w:rFonts w:hint="eastAsia" w:ascii="仿宋_GB2312" w:hAnsi="Times New Roman" w:eastAsia="仿宋_GB2312" w:cs="Times New Roman"/>
          <w:sz w:val="24"/>
          <w:szCs w:val="24"/>
        </w:rPr>
        <w:t>.00%。</w:t>
      </w:r>
    </w:p>
    <w:p w14:paraId="2A13C98F">
      <w:pPr>
        <w:spacing w:line="560" w:lineRule="exact"/>
        <w:ind w:firstLine="480" w:firstLineChars="200"/>
        <w:outlineLvl w:val="0"/>
        <w:rPr>
          <w:rFonts w:ascii="黑体" w:hAnsi="黑体" w:eastAsia="黑体" w:cs="Times New Roman"/>
          <w:bCs/>
          <w:sz w:val="24"/>
          <w:szCs w:val="24"/>
        </w:rPr>
      </w:pPr>
      <w:r>
        <w:rPr>
          <w:rFonts w:hint="eastAsia" w:ascii="黑体" w:hAnsi="黑体" w:eastAsia="黑体" w:cs="Times New Roman"/>
          <w:bCs/>
          <w:sz w:val="24"/>
          <w:szCs w:val="24"/>
        </w:rPr>
        <w:t>五、主要经验及做法</w:t>
      </w:r>
    </w:p>
    <w:p w14:paraId="73CE4998">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主要</w:t>
      </w:r>
      <w:r>
        <w:rPr>
          <w:rFonts w:hint="eastAsia" w:ascii="仿宋_GB2312" w:hAnsi="Times New Roman" w:eastAsia="仿宋_GB2312" w:cs="Times New Roman"/>
          <w:sz w:val="24"/>
          <w:szCs w:val="24"/>
          <w:lang w:val="en-US" w:eastAsia="zh-CN"/>
        </w:rPr>
        <w:t>经验及落实做法如下：</w:t>
      </w:r>
    </w:p>
    <w:p w14:paraId="2C57B7EF">
      <w:pPr>
        <w:numPr>
          <w:ilvl w:val="0"/>
          <w:numId w:val="4"/>
        </w:numPr>
        <w:spacing w:line="560" w:lineRule="exact"/>
        <w:ind w:firstLine="480" w:firstLineChars="200"/>
        <w:rPr>
          <w:rFonts w:hint="eastAsia" w:ascii="仿宋_GB2312"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明确项目目标与责任</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克服麻痹思想，强化责任落实</w:t>
      </w:r>
      <w:r>
        <w:rPr>
          <w:rFonts w:hint="eastAsia" w:ascii="仿宋_GB2312" w:eastAsia="仿宋_GB2312" w:cs="Times New Roman"/>
          <w:sz w:val="24"/>
          <w:szCs w:val="24"/>
          <w:lang w:val="en-US" w:eastAsia="zh-CN"/>
        </w:rPr>
        <w:t>；</w:t>
      </w:r>
    </w:p>
    <w:p w14:paraId="2FB5DDB0">
      <w:pPr>
        <w:numPr>
          <w:ilvl w:val="0"/>
          <w:numId w:val="4"/>
        </w:num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加强资金管理与使用</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实施精细化管理，提升堤防质量</w:t>
      </w:r>
      <w:r>
        <w:rPr>
          <w:rFonts w:hint="eastAsia" w:ascii="仿宋_GB2312" w:eastAsia="仿宋_GB2312" w:cs="Times New Roman"/>
          <w:sz w:val="24"/>
          <w:szCs w:val="24"/>
          <w:lang w:val="en-US" w:eastAsia="zh-CN"/>
        </w:rPr>
        <w:t>；</w:t>
      </w:r>
    </w:p>
    <w:p w14:paraId="255BA2BA">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三）强化项目管理与执行</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注重思想教育，增强群众意识</w:t>
      </w:r>
      <w:r>
        <w:rPr>
          <w:rFonts w:hint="eastAsia" w:ascii="仿宋_GB2312" w:eastAsia="仿宋_GB2312" w:cs="Times New Roman"/>
          <w:sz w:val="24"/>
          <w:szCs w:val="24"/>
          <w:lang w:val="en-US" w:eastAsia="zh-CN"/>
        </w:rPr>
        <w:t>；</w:t>
      </w:r>
    </w:p>
    <w:p w14:paraId="4E94165C">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（四）加强监督与评估</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建立联动机制，形成工作合力</w:t>
      </w:r>
      <w:r>
        <w:rPr>
          <w:rFonts w:hint="eastAsia" w:ascii="仿宋_GB2312" w:eastAsia="仿宋_GB2312" w:cs="Times New Roman"/>
          <w:sz w:val="24"/>
          <w:szCs w:val="24"/>
          <w:lang w:val="en-US" w:eastAsia="zh-CN"/>
        </w:rPr>
        <w:t>。</w:t>
      </w:r>
    </w:p>
    <w:p w14:paraId="03738E12">
      <w:pPr>
        <w:spacing w:line="560" w:lineRule="exact"/>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这些经验和做法为怀远县河道堤防管理工作的顺利开展提供了有力保障。</w:t>
      </w:r>
    </w:p>
    <w:p w14:paraId="07529C70">
      <w:pPr>
        <w:spacing w:line="560" w:lineRule="exact"/>
        <w:ind w:firstLine="420" w:firstLineChars="200"/>
        <w:outlineLvl w:val="0"/>
        <w:rPr>
          <w:rFonts w:ascii="黑体" w:hAnsi="黑体" w:eastAsia="黑体" w:cs="Times New Roman"/>
          <w:bCs/>
          <w:sz w:val="24"/>
          <w:szCs w:val="24"/>
        </w:rPr>
      </w:pPr>
      <w:r>
        <w:rPr>
          <w:rFonts w:hint="eastAsia"/>
          <w:lang w:val="en-US" w:eastAsia="zh-CN"/>
        </w:rPr>
        <w:t xml:space="preserve"> </w:t>
      </w:r>
      <w:r>
        <w:rPr>
          <w:rFonts w:hint="eastAsia" w:ascii="黑体" w:hAnsi="黑体" w:eastAsia="黑体" w:cs="Times New Roman"/>
          <w:bCs/>
          <w:sz w:val="24"/>
          <w:szCs w:val="24"/>
        </w:rPr>
        <w:t>六、存在问题及原因分析</w:t>
      </w:r>
    </w:p>
    <w:p w14:paraId="6E8D9868">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一是绩效目标设置较为简单，需要进一步明确项目指标设置。缺少效益指标。不能细化量化考核实际效果；</w:t>
      </w:r>
    </w:p>
    <w:p w14:paraId="52A72272">
      <w:pPr>
        <w:spacing w:line="560" w:lineRule="exact"/>
        <w:ind w:firstLine="480" w:firstLineChars="200"/>
        <w:rPr>
          <w:rFonts w:hint="default" w:ascii="仿宋_GB2312"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二是资金分配与监管问题</w:t>
      </w:r>
      <w:r>
        <w:rPr>
          <w:rFonts w:hint="eastAsia" w:ascii="仿宋_GB2312" w:eastAsia="仿宋_GB2312" w:cs="Times New Roman"/>
          <w:sz w:val="24"/>
          <w:szCs w:val="24"/>
          <w:lang w:val="en-US" w:eastAsia="zh-CN"/>
        </w:rPr>
        <w:t>，导致中途进行预算追加，在预算执行中才发现预算不足，资金监管不到位。</w:t>
      </w:r>
    </w:p>
    <w:p w14:paraId="1798D95A">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三是项目管理与执行问题</w:t>
      </w:r>
      <w:r>
        <w:rPr>
          <w:rFonts w:hint="eastAsia" w:ascii="仿宋_GB2312" w:eastAsia="仿宋_GB2312" w:cs="Times New Roman"/>
          <w:sz w:val="24"/>
          <w:szCs w:val="24"/>
          <w:lang w:val="en-US" w:eastAsia="zh-CN"/>
        </w:rPr>
        <w:t>，没发现在平时工作中有提出管理需求，也没有对</w:t>
      </w:r>
      <w:r>
        <w:rPr>
          <w:rFonts w:hint="eastAsia" w:ascii="仿宋_GB2312" w:hAnsi="Times New Roman" w:eastAsia="仿宋_GB2312" w:cs="Times New Roman"/>
          <w:sz w:val="24"/>
          <w:szCs w:val="24"/>
          <w:lang w:val="en-US" w:eastAsia="zh-CN"/>
        </w:rPr>
        <w:t>河道堤防</w:t>
      </w:r>
      <w:r>
        <w:rPr>
          <w:rFonts w:hint="eastAsia" w:ascii="仿宋_GB2312" w:eastAsia="仿宋_GB2312" w:cs="Times New Roman"/>
          <w:sz w:val="24"/>
          <w:szCs w:val="24"/>
          <w:lang w:val="en-US" w:eastAsia="zh-CN"/>
        </w:rPr>
        <w:t>在执行维护中发挥监督作用。</w:t>
      </w:r>
    </w:p>
    <w:p w14:paraId="64D802C4">
      <w:pPr>
        <w:spacing w:line="560" w:lineRule="exact"/>
        <w:ind w:firstLine="480" w:firstLineChars="200"/>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四是监管环节不连贯，河道堤防</w:t>
      </w:r>
      <w:r>
        <w:rPr>
          <w:rFonts w:hint="eastAsia" w:ascii="仿宋_GB2312" w:eastAsia="仿宋_GB2312" w:cs="Times New Roman"/>
          <w:sz w:val="24"/>
          <w:szCs w:val="24"/>
          <w:lang w:val="en-US" w:eastAsia="zh-CN"/>
        </w:rPr>
        <w:t>工程在维护中有无监管，水利局只是根据文件或纪要付款，质量与效果无从查看。</w:t>
      </w:r>
    </w:p>
    <w:p w14:paraId="06089929">
      <w:pPr>
        <w:spacing w:line="560" w:lineRule="exact"/>
        <w:ind w:firstLine="480" w:firstLineChars="200"/>
        <w:outlineLvl w:val="0"/>
        <w:rPr>
          <w:rFonts w:ascii="黑体" w:hAnsi="黑体" w:eastAsia="黑体" w:cs="Times New Roman"/>
          <w:bCs/>
          <w:sz w:val="24"/>
          <w:szCs w:val="24"/>
        </w:rPr>
      </w:pPr>
      <w:r>
        <w:rPr>
          <w:rFonts w:hint="eastAsia" w:ascii="黑体" w:hAnsi="黑体" w:eastAsia="黑体" w:cs="Times New Roman"/>
          <w:bCs/>
          <w:sz w:val="24"/>
          <w:szCs w:val="24"/>
        </w:rPr>
        <w:t>七、有关建议</w:t>
      </w:r>
    </w:p>
    <w:p w14:paraId="4BCD13F0">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为进一步提高资金使用效益，针对存在的问题，提出如下建议：</w:t>
      </w:r>
    </w:p>
    <w:p w14:paraId="57B30DA0">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一是完善绩效目标编制，细化绩效指标值；在编制绩效目标时，怀远县水利局应加强财务部门与项目实施部门之间的信息沟通，共同参与绩效目标编制，根据项目的实际情况、工作计划等合理设置绩效目标，细化量化指标值，便于</w:t>
      </w:r>
      <w:r>
        <w:rPr>
          <w:rFonts w:hint="eastAsia" w:ascii="仿宋_GB2312" w:eastAsia="仿宋_GB2312" w:cs="Times New Roman"/>
          <w:sz w:val="24"/>
          <w:szCs w:val="24"/>
          <w:lang w:val="en-US" w:eastAsia="zh-CN"/>
        </w:rPr>
        <w:t xml:space="preserve"> </w:t>
      </w:r>
      <w:r>
        <w:rPr>
          <w:rFonts w:hint="eastAsia" w:ascii="仿宋_GB2312" w:hAnsi="Times New Roman" w:eastAsia="仿宋_GB2312" w:cs="Times New Roman"/>
          <w:sz w:val="24"/>
          <w:szCs w:val="24"/>
          <w:lang w:val="en-US" w:eastAsia="zh-CN"/>
        </w:rPr>
        <w:t>项目绩效管理。</w:t>
      </w:r>
    </w:p>
    <w:p w14:paraId="0EF74CBA">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二是加强业务条线管理，做好</w:t>
      </w:r>
      <w:r>
        <w:rPr>
          <w:rFonts w:hint="eastAsia" w:ascii="仿宋_GB2312" w:eastAsia="仿宋_GB2312" w:cs="Times New Roman"/>
          <w:sz w:val="24"/>
          <w:szCs w:val="24"/>
          <w:lang w:val="en-US" w:eastAsia="zh-CN"/>
        </w:rPr>
        <w:t>资金分配与监管，要落实资金使用方向，确保资金使用在预算项目中</w:t>
      </w:r>
      <w:r>
        <w:rPr>
          <w:rFonts w:hint="eastAsia" w:ascii="仿宋_GB2312" w:hAnsi="Times New Roman" w:eastAsia="仿宋_GB2312" w:cs="Times New Roman"/>
          <w:sz w:val="24"/>
          <w:szCs w:val="24"/>
          <w:lang w:val="en-US" w:eastAsia="zh-CN"/>
        </w:rPr>
        <w:t>。</w:t>
      </w:r>
    </w:p>
    <w:p w14:paraId="7801F25F">
      <w:pPr>
        <w:spacing w:line="560" w:lineRule="exact"/>
        <w:ind w:firstLine="480" w:firstLineChars="20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三是强化内部流程制度的制定与落实。根据项目申请到项目落实及后期的管理要制定一个具体的管理办法，完善财务制度，保证专款专用不准挪用项目资金。</w:t>
      </w:r>
    </w:p>
    <w:p w14:paraId="60F6F05B">
      <w:pPr>
        <w:spacing w:line="560" w:lineRule="exact"/>
        <w:ind w:firstLine="480" w:firstLineChars="200"/>
        <w:outlineLvl w:val="0"/>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四是严格落实</w:t>
      </w:r>
      <w:r>
        <w:rPr>
          <w:rFonts w:hint="eastAsia" w:ascii="仿宋_GB2312" w:eastAsia="仿宋_GB2312" w:cs="Times New Roman"/>
          <w:sz w:val="24"/>
          <w:szCs w:val="24"/>
          <w:lang w:val="en-US" w:eastAsia="zh-CN"/>
        </w:rPr>
        <w:t>会议精神确保</w:t>
      </w:r>
      <w:r>
        <w:rPr>
          <w:rFonts w:hint="eastAsia" w:ascii="仿宋_GB2312" w:hAnsi="Times New Roman" w:eastAsia="仿宋_GB2312" w:cs="Times New Roman"/>
          <w:sz w:val="24"/>
          <w:szCs w:val="24"/>
          <w:lang w:val="en-US" w:eastAsia="zh-CN"/>
        </w:rPr>
        <w:t>河道堤防</w:t>
      </w:r>
      <w:r>
        <w:rPr>
          <w:rFonts w:hint="eastAsia" w:ascii="仿宋_GB2312" w:eastAsia="仿宋_GB2312" w:cs="Times New Roman"/>
          <w:sz w:val="24"/>
          <w:szCs w:val="24"/>
          <w:lang w:val="en-US" w:eastAsia="zh-CN"/>
        </w:rPr>
        <w:t>工程</w:t>
      </w:r>
      <w:r>
        <w:rPr>
          <w:rFonts w:hint="eastAsia" w:ascii="仿宋_GB2312" w:hAnsi="Times New Roman" w:eastAsia="仿宋_GB2312" w:cs="Times New Roman"/>
          <w:sz w:val="24"/>
          <w:szCs w:val="24"/>
          <w:lang w:val="en-US" w:eastAsia="zh-CN"/>
        </w:rPr>
        <w:t>工程</w:t>
      </w:r>
      <w:r>
        <w:rPr>
          <w:rFonts w:hint="eastAsia" w:ascii="仿宋_GB2312" w:eastAsia="仿宋_GB2312" w:cs="Times New Roman"/>
          <w:sz w:val="24"/>
          <w:szCs w:val="24"/>
          <w:lang w:val="en-US" w:eastAsia="zh-CN"/>
        </w:rPr>
        <w:t>达标安全正常运行</w:t>
      </w:r>
      <w:r>
        <w:rPr>
          <w:rFonts w:hint="eastAsia" w:ascii="仿宋_GB2312" w:hAnsi="Times New Roman" w:eastAsia="仿宋_GB2312" w:cs="Times New Roman"/>
          <w:sz w:val="24"/>
          <w:szCs w:val="24"/>
          <w:lang w:val="en-US" w:eastAsia="zh-CN"/>
        </w:rPr>
        <w:t>。</w:t>
      </w:r>
    </w:p>
    <w:p w14:paraId="7BEAB695">
      <w:pPr>
        <w:spacing w:line="560" w:lineRule="exact"/>
        <w:ind w:firstLine="480" w:firstLineChars="200"/>
        <w:outlineLvl w:val="0"/>
        <w:rPr>
          <w:rFonts w:hint="eastAsia" w:ascii="黑体" w:hAnsi="黑体" w:eastAsia="黑体" w:cs="Times New Roman"/>
          <w:b w:val="0"/>
          <w:bCs w:val="0"/>
          <w:sz w:val="24"/>
          <w:szCs w:val="24"/>
        </w:rPr>
      </w:pPr>
      <w:r>
        <w:rPr>
          <w:rFonts w:hint="eastAsia" w:ascii="黑体" w:hAnsi="黑体" w:eastAsia="黑体" w:cs="Times New Roman"/>
          <w:b w:val="0"/>
          <w:bCs w:val="0"/>
          <w:sz w:val="24"/>
          <w:szCs w:val="24"/>
        </w:rPr>
        <w:t>八、其他需要说明的问题</w:t>
      </w:r>
    </w:p>
    <w:p w14:paraId="27F31D07">
      <w:pPr>
        <w:spacing w:line="560" w:lineRule="exact"/>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    </w:t>
      </w:r>
      <w:r>
        <w:rPr>
          <w:rFonts w:hint="eastAsia" w:ascii="仿宋_GB2312" w:eastAsia="仿宋_GB2312" w:cs="Times New Roman"/>
          <w:sz w:val="24"/>
          <w:szCs w:val="24"/>
          <w:lang w:val="en-US" w:eastAsia="zh-CN"/>
        </w:rPr>
        <w:t xml:space="preserve">  </w:t>
      </w:r>
      <w:r>
        <w:rPr>
          <w:rFonts w:hint="eastAsia" w:ascii="仿宋_GB2312" w:hAnsi="Times New Roman" w:eastAsia="仿宋_GB2312" w:cs="Times New Roman"/>
          <w:sz w:val="24"/>
          <w:szCs w:val="24"/>
        </w:rPr>
        <w:t>无其他需要说明的问题。</w:t>
      </w:r>
    </w:p>
    <w:p w14:paraId="3C4AC6A6">
      <w:pPr>
        <w:spacing w:line="560" w:lineRule="exact"/>
        <w:rPr>
          <w:rFonts w:hint="eastAsia" w:ascii="仿宋_GB2312" w:hAnsi="Times New Roman" w:eastAsia="仿宋_GB2312" w:cs="Times New Roman"/>
          <w:sz w:val="24"/>
          <w:szCs w:val="24"/>
        </w:rPr>
      </w:pPr>
    </w:p>
    <w:p w14:paraId="448839C0">
      <w:pPr>
        <w:tabs>
          <w:tab w:val="left" w:pos="1276"/>
        </w:tabs>
        <w:spacing w:line="560" w:lineRule="exact"/>
        <w:ind w:firstLine="537" w:firstLineChars="224"/>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附：</w:t>
      </w:r>
    </w:p>
    <w:p w14:paraId="690DDB4E">
      <w:pPr>
        <w:tabs>
          <w:tab w:val="left" w:pos="1276"/>
        </w:tabs>
        <w:spacing w:line="560" w:lineRule="exact"/>
        <w:ind w:firstLine="537" w:firstLineChars="224"/>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 1.202</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年度</w:t>
      </w:r>
      <w:r>
        <w:rPr>
          <w:rFonts w:hint="eastAsia" w:ascii="仿宋_GB2312" w:hAnsi="Times New Roman" w:eastAsia="仿宋_GB2312" w:cs="Times New Roman"/>
          <w:sz w:val="24"/>
          <w:szCs w:val="24"/>
          <w:lang w:val="en-US" w:eastAsia="zh-CN"/>
        </w:rPr>
        <w:t>怀远县水利局管堤防及涵闸运管经费项目支出绩效评价</w:t>
      </w:r>
      <w:r>
        <w:rPr>
          <w:rFonts w:hint="eastAsia" w:ascii="仿宋_GB2312" w:hAnsi="Times New Roman" w:eastAsia="仿宋_GB2312" w:cs="Times New Roman"/>
          <w:sz w:val="24"/>
          <w:szCs w:val="24"/>
        </w:rPr>
        <w:t>-指标体系</w:t>
      </w:r>
    </w:p>
    <w:p w14:paraId="39A6666A">
      <w:pPr>
        <w:tabs>
          <w:tab w:val="left" w:pos="1276"/>
        </w:tabs>
        <w:spacing w:line="560" w:lineRule="exact"/>
        <w:ind w:firstLine="537" w:firstLineChars="224"/>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rPr>
        <w:t>2.202</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年度</w:t>
      </w:r>
      <w:r>
        <w:rPr>
          <w:rFonts w:hint="eastAsia" w:ascii="仿宋_GB2312" w:hAnsi="Times New Roman" w:eastAsia="仿宋_GB2312" w:cs="Times New Roman"/>
          <w:sz w:val="24"/>
          <w:szCs w:val="24"/>
          <w:lang w:val="en-US" w:eastAsia="zh-CN"/>
        </w:rPr>
        <w:t>怀远县水利局管堤防及涵闸运管经费项目支出绩效</w:t>
      </w:r>
      <w:r>
        <w:rPr>
          <w:rFonts w:hint="eastAsia" w:ascii="仿宋_GB2312" w:eastAsia="仿宋_GB2312" w:cs="Times New Roman"/>
          <w:sz w:val="24"/>
          <w:szCs w:val="24"/>
          <w:lang w:val="en-US" w:eastAsia="zh-CN"/>
        </w:rPr>
        <w:t>目标完成清单</w:t>
      </w:r>
    </w:p>
    <w:p w14:paraId="7B7C9406">
      <w:pPr>
        <w:tabs>
          <w:tab w:val="left" w:pos="1276"/>
        </w:tabs>
        <w:spacing w:line="560" w:lineRule="exact"/>
        <w:ind w:firstLine="537" w:firstLineChars="224"/>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rPr>
        <w:t>3.  202</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年度</w:t>
      </w:r>
      <w:r>
        <w:rPr>
          <w:rFonts w:hint="eastAsia" w:ascii="仿宋_GB2312" w:hAnsi="Times New Roman" w:eastAsia="仿宋_GB2312" w:cs="Times New Roman"/>
          <w:sz w:val="24"/>
          <w:szCs w:val="24"/>
          <w:lang w:val="en-US" w:eastAsia="zh-CN"/>
        </w:rPr>
        <w:t>怀远县水利局管堤防及涵闸运管经费项目支出绩效</w:t>
      </w:r>
      <w:r>
        <w:rPr>
          <w:rFonts w:hint="eastAsia" w:ascii="仿宋_GB2312" w:eastAsia="仿宋_GB2312" w:cs="Times New Roman"/>
          <w:sz w:val="24"/>
          <w:szCs w:val="24"/>
          <w:lang w:val="en-US" w:eastAsia="zh-CN"/>
        </w:rPr>
        <w:t>问题清单</w:t>
      </w:r>
    </w:p>
    <w:p w14:paraId="7693776F">
      <w:pPr>
        <w:tabs>
          <w:tab w:val="left" w:pos="1276"/>
        </w:tabs>
        <w:spacing w:line="560" w:lineRule="exact"/>
        <w:ind w:firstLine="537" w:firstLineChars="224"/>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rPr>
        <w:t>4.202</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年度</w:t>
      </w:r>
      <w:r>
        <w:rPr>
          <w:rFonts w:hint="eastAsia" w:ascii="仿宋_GB2312" w:hAnsi="Times New Roman" w:eastAsia="仿宋_GB2312" w:cs="Times New Roman"/>
          <w:sz w:val="24"/>
          <w:szCs w:val="24"/>
          <w:lang w:val="en-US" w:eastAsia="zh-CN"/>
        </w:rPr>
        <w:t>怀远县水利局管堤防及涵闸运管经费项目支出绩效</w:t>
      </w:r>
      <w:r>
        <w:rPr>
          <w:rFonts w:hint="eastAsia" w:ascii="仿宋_GB2312" w:eastAsia="仿宋_GB2312" w:cs="Times New Roman"/>
          <w:sz w:val="24"/>
          <w:szCs w:val="24"/>
          <w:lang w:val="en-US" w:eastAsia="zh-CN"/>
        </w:rPr>
        <w:t>评分情况</w:t>
      </w:r>
    </w:p>
    <w:p w14:paraId="755741B8">
      <w:pPr>
        <w:tabs>
          <w:tab w:val="left" w:pos="1276"/>
        </w:tabs>
        <w:spacing w:line="560" w:lineRule="exact"/>
        <w:ind w:firstLine="537" w:firstLineChars="224"/>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5.202</w:t>
      </w:r>
      <w:r>
        <w:rPr>
          <w:rFonts w:hint="eastAsia" w:ascii="仿宋_GB2312" w:eastAsia="仿宋_GB2312" w:cs="Times New Roman"/>
          <w:sz w:val="24"/>
          <w:szCs w:val="24"/>
          <w:lang w:val="en-US" w:eastAsia="zh-CN"/>
        </w:rPr>
        <w:t>3</w:t>
      </w:r>
      <w:r>
        <w:rPr>
          <w:rFonts w:hint="eastAsia" w:ascii="仿宋_GB2312" w:hAnsi="Times New Roman" w:eastAsia="仿宋_GB2312" w:cs="Times New Roman"/>
          <w:sz w:val="24"/>
          <w:szCs w:val="24"/>
        </w:rPr>
        <w:t>年度</w:t>
      </w:r>
      <w:r>
        <w:rPr>
          <w:rFonts w:hint="eastAsia" w:ascii="仿宋_GB2312" w:hAnsi="Times New Roman" w:eastAsia="仿宋_GB2312" w:cs="Times New Roman"/>
          <w:sz w:val="24"/>
          <w:szCs w:val="24"/>
          <w:lang w:val="en-US" w:eastAsia="zh-CN"/>
        </w:rPr>
        <w:t>怀远县水利局管堤防及涵闸运管经费项目支出绩效</w:t>
      </w:r>
      <w:r>
        <w:rPr>
          <w:rFonts w:hint="eastAsia" w:ascii="仿宋_GB2312" w:hAnsi="Times New Roman" w:eastAsia="仿宋_GB2312" w:cs="Times New Roman"/>
          <w:sz w:val="24"/>
          <w:szCs w:val="24"/>
        </w:rPr>
        <w:t>-社会问卷调查统计分析表-服务对象</w:t>
      </w:r>
    </w:p>
    <w:p w14:paraId="42333EB7">
      <w:pPr>
        <w:tabs>
          <w:tab w:val="left" w:pos="1276"/>
        </w:tabs>
        <w:spacing w:line="560" w:lineRule="exact"/>
        <w:ind w:firstLine="537" w:firstLineChars="224"/>
        <w:rPr>
          <w:rFonts w:hint="eastAsia" w:ascii="仿宋_GB2312" w:eastAsia="仿宋_GB2312" w:cs="Times New Roman"/>
          <w:sz w:val="24"/>
          <w:szCs w:val="24"/>
          <w:lang w:eastAsia="zh-CN"/>
        </w:rPr>
      </w:pPr>
      <w:r>
        <w:rPr>
          <w:rFonts w:hint="eastAsia" w:ascii="仿宋_GB2312" w:eastAsia="仿宋_GB2312" w:cs="Times New Roman"/>
          <w:sz w:val="24"/>
          <w:szCs w:val="24"/>
          <w:lang w:val="en-US" w:eastAsia="zh-CN"/>
        </w:rPr>
        <w:t>6.</w:t>
      </w:r>
      <w:r>
        <w:rPr>
          <w:rFonts w:hint="eastAsia" w:ascii="仿宋_GB2312" w:eastAsia="仿宋_GB2312" w:cs="Times New Roman"/>
          <w:sz w:val="24"/>
          <w:szCs w:val="24"/>
          <w:lang w:eastAsia="zh-CN"/>
        </w:rPr>
        <w:t>《</w:t>
      </w:r>
      <w:r>
        <w:rPr>
          <w:rFonts w:hint="eastAsia" w:ascii="仿宋_GB2312" w:eastAsia="仿宋_GB2312" w:cs="Times New Roman"/>
          <w:sz w:val="24"/>
          <w:szCs w:val="24"/>
          <w:lang w:val="en-US" w:eastAsia="zh-CN"/>
        </w:rPr>
        <w:t>怀远县淮河河道管理局下划工程及管理设施交接书</w:t>
      </w:r>
      <w:r>
        <w:rPr>
          <w:rFonts w:hint="eastAsia" w:ascii="仿宋_GB2312" w:eastAsia="仿宋_GB2312" w:cs="Times New Roman"/>
          <w:sz w:val="24"/>
          <w:szCs w:val="24"/>
          <w:lang w:eastAsia="zh-CN"/>
        </w:rPr>
        <w:t>》</w:t>
      </w:r>
    </w:p>
    <w:p w14:paraId="54C5C15E">
      <w:pPr>
        <w:numPr>
          <w:ilvl w:val="0"/>
          <w:numId w:val="0"/>
        </w:numPr>
        <w:tabs>
          <w:tab w:val="left" w:pos="1276"/>
        </w:tabs>
        <w:spacing w:line="560" w:lineRule="exact"/>
        <w:ind w:leftChars="200"/>
        <w:rPr>
          <w:rFonts w:hint="eastAsia" w:ascii="仿宋_GB2312" w:eastAsia="仿宋_GB2312" w:cs="Times New Roman"/>
          <w:sz w:val="24"/>
          <w:szCs w:val="24"/>
          <w:lang w:eastAsia="zh-CN"/>
        </w:rPr>
      </w:pPr>
      <w:r>
        <w:rPr>
          <w:rFonts w:hint="eastAsia" w:ascii="仿宋_GB2312" w:eastAsia="仿宋_GB2312" w:cs="Times New Roman"/>
          <w:sz w:val="24"/>
          <w:szCs w:val="24"/>
          <w:lang w:val="en-US" w:eastAsia="zh-CN"/>
        </w:rPr>
        <w:t>7.</w:t>
      </w:r>
      <w:r>
        <w:rPr>
          <w:rFonts w:hint="eastAsia" w:ascii="仿宋_GB2312" w:eastAsia="仿宋_GB2312" w:cs="Times New Roman"/>
          <w:sz w:val="24"/>
          <w:szCs w:val="24"/>
          <w:lang w:eastAsia="zh-CN"/>
        </w:rPr>
        <w:t>《</w:t>
      </w:r>
      <w:r>
        <w:rPr>
          <w:rFonts w:hint="eastAsia" w:ascii="仿宋_GB2312" w:eastAsia="仿宋_GB2312" w:cs="Times New Roman"/>
          <w:sz w:val="24"/>
          <w:szCs w:val="24"/>
          <w:lang w:val="en-US" w:eastAsia="zh-CN"/>
        </w:rPr>
        <w:t>关于将县管堤防涵闸运行管护经费列人 2019 年预算的请示</w:t>
      </w:r>
      <w:r>
        <w:rPr>
          <w:rFonts w:hint="eastAsia" w:ascii="仿宋_GB2312" w:eastAsia="仿宋_GB2312" w:cs="Times New Roman"/>
          <w:sz w:val="24"/>
          <w:szCs w:val="24"/>
          <w:lang w:eastAsia="zh-CN"/>
        </w:rPr>
        <w:t>》怀水〔2018]91号</w:t>
      </w:r>
    </w:p>
    <w:p w14:paraId="2FFCFC55">
      <w:pPr>
        <w:numPr>
          <w:ilvl w:val="0"/>
          <w:numId w:val="0"/>
        </w:numPr>
        <w:tabs>
          <w:tab w:val="left" w:pos="1276"/>
        </w:tabs>
        <w:spacing w:line="560" w:lineRule="exact"/>
        <w:ind w:leftChars="200"/>
        <w:rPr>
          <w:rFonts w:hint="default" w:ascii="仿宋_GB2312" w:eastAsia="仿宋_GB2312" w:cs="Times New Roman"/>
          <w:sz w:val="24"/>
          <w:szCs w:val="24"/>
          <w:lang w:val="en-US" w:eastAsia="zh-CN"/>
        </w:rPr>
      </w:pPr>
      <w:r>
        <w:rPr>
          <w:rFonts w:hint="eastAsia" w:ascii="仿宋_GB2312" w:eastAsia="仿宋_GB2312" w:cs="Times New Roman"/>
          <w:sz w:val="24"/>
          <w:szCs w:val="24"/>
          <w:lang w:val="en-US" w:eastAsia="zh-CN"/>
        </w:rPr>
        <w:t>8.《关于怀远县人民政府委托安徽省淮河河道局代管工程及人员相关问题协调会纪要》蚌信联办(2020]3号</w:t>
      </w:r>
    </w:p>
    <w:p w14:paraId="575D167D">
      <w:pPr>
        <w:pStyle w:val="3"/>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9.付款凭证</w:t>
      </w:r>
    </w:p>
    <w:p w14:paraId="237AAC79">
      <w:pPr>
        <w:pStyle w:val="3"/>
        <w:rPr>
          <w:rFonts w:hint="default" w:ascii="仿宋_GB2312" w:hAnsi="Times New Roman" w:eastAsia="仿宋_GB2312" w:cs="Times New Roman"/>
          <w:sz w:val="24"/>
          <w:szCs w:val="24"/>
          <w:lang w:val="en-US" w:eastAsia="zh-CN"/>
        </w:rPr>
      </w:pPr>
    </w:p>
    <w:p w14:paraId="21698BC1">
      <w:pPr>
        <w:pStyle w:val="3"/>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（此页无正文）</w:t>
      </w:r>
    </w:p>
    <w:p w14:paraId="0230A226">
      <w:pPr>
        <w:widowControl/>
        <w:shd w:val="clear" w:color="auto" w:fill="FFFFFF"/>
        <w:rPr>
          <w:rFonts w:hint="eastAsia" w:ascii="仿宋" w:hAnsi="仿宋" w:eastAsia="仿宋" w:cs="仿宋"/>
          <w:color w:val="000000"/>
          <w:kern w:val="0"/>
          <w:sz w:val="28"/>
          <w:szCs w:val="28"/>
        </w:rPr>
      </w:pPr>
    </w:p>
    <w:p w14:paraId="011427EA">
      <w:pPr>
        <w:numPr>
          <w:ilvl w:val="0"/>
          <w:numId w:val="0"/>
        </w:numPr>
        <w:tabs>
          <w:tab w:val="left" w:pos="1276"/>
        </w:tabs>
        <w:spacing w:line="560" w:lineRule="exact"/>
        <w:ind w:leftChars="200"/>
        <w:rPr>
          <w:rFonts w:hint="eastAsia" w:ascii="仿宋_GB2312" w:eastAsia="仿宋_GB2312" w:cs="Times New Roman"/>
          <w:sz w:val="24"/>
          <w:szCs w:val="24"/>
          <w:lang w:val="en-US" w:eastAsia="zh-CN"/>
        </w:rPr>
      </w:pPr>
      <w:r>
        <w:rPr>
          <w:rFonts w:hint="eastAsia" w:ascii="仿宋_GB2312" w:eastAsia="仿宋_GB2312" w:cs="Times New Roman"/>
          <w:sz w:val="24"/>
          <w:szCs w:val="24"/>
          <w:lang w:val="en-US" w:eastAsia="zh-CN"/>
        </w:rPr>
        <w:t xml:space="preserve">安徽乔峰信息科技有限公司        主评人：  </w:t>
      </w:r>
    </w:p>
    <w:p w14:paraId="721B98DB">
      <w:pPr>
        <w:numPr>
          <w:ilvl w:val="0"/>
          <w:numId w:val="0"/>
        </w:numPr>
        <w:tabs>
          <w:tab w:val="left" w:pos="1276"/>
        </w:tabs>
        <w:spacing w:line="560" w:lineRule="exact"/>
        <w:ind w:leftChars="200"/>
        <w:rPr>
          <w:rFonts w:hint="eastAsia" w:ascii="仿宋_GB2312" w:eastAsia="仿宋_GB2312" w:cs="Times New Roman"/>
          <w:sz w:val="24"/>
          <w:szCs w:val="24"/>
          <w:lang w:val="en-US" w:eastAsia="zh-CN"/>
        </w:rPr>
      </w:pPr>
    </w:p>
    <w:p w14:paraId="1E414484">
      <w:pPr>
        <w:numPr>
          <w:ilvl w:val="0"/>
          <w:numId w:val="0"/>
        </w:numPr>
        <w:tabs>
          <w:tab w:val="left" w:pos="1276"/>
        </w:tabs>
        <w:spacing w:line="560" w:lineRule="exact"/>
        <w:ind w:leftChars="200"/>
        <w:rPr>
          <w:rFonts w:hint="eastAsia" w:ascii="仿宋_GB2312" w:eastAsia="仿宋_GB2312" w:cs="Times New Roman"/>
          <w:sz w:val="24"/>
          <w:szCs w:val="24"/>
          <w:lang w:val="en-US" w:eastAsia="zh-CN"/>
        </w:rPr>
      </w:pPr>
      <w:r>
        <w:rPr>
          <w:rFonts w:hint="eastAsia" w:ascii="仿宋_GB2312" w:eastAsia="仿宋_GB2312" w:cs="Times New Roman"/>
          <w:sz w:val="24"/>
          <w:szCs w:val="24"/>
          <w:lang w:val="en-US" w:eastAsia="zh-CN"/>
        </w:rPr>
        <w:t xml:space="preserve">                                 主评人：</w:t>
      </w:r>
    </w:p>
    <w:p w14:paraId="3DED14C0">
      <w:pPr>
        <w:numPr>
          <w:ilvl w:val="0"/>
          <w:numId w:val="0"/>
        </w:numPr>
        <w:tabs>
          <w:tab w:val="left" w:pos="1276"/>
        </w:tabs>
        <w:spacing w:line="560" w:lineRule="exact"/>
        <w:ind w:leftChars="200"/>
        <w:rPr>
          <w:rFonts w:hint="default" w:ascii="仿宋_GB2312" w:eastAsia="仿宋_GB2312" w:cs="Times New Roman"/>
          <w:sz w:val="24"/>
          <w:szCs w:val="24"/>
          <w:lang w:val="en-US" w:eastAsia="zh-CN"/>
        </w:rPr>
      </w:pPr>
    </w:p>
    <w:p w14:paraId="1D6A5970">
      <w:pPr>
        <w:numPr>
          <w:ilvl w:val="0"/>
          <w:numId w:val="0"/>
        </w:numPr>
        <w:tabs>
          <w:tab w:val="left" w:pos="1276"/>
        </w:tabs>
        <w:spacing w:line="560" w:lineRule="exact"/>
        <w:ind w:leftChars="200"/>
        <w:rPr>
          <w:rFonts w:hint="eastAsia" w:ascii="仿宋_GB2312" w:eastAsia="仿宋_GB2312" w:cs="Times New Roman"/>
          <w:sz w:val="24"/>
          <w:szCs w:val="24"/>
          <w:lang w:val="en-US" w:eastAsia="zh-CN"/>
        </w:rPr>
      </w:pPr>
      <w:r>
        <w:rPr>
          <w:rFonts w:hint="eastAsia" w:ascii="仿宋_GB2312" w:eastAsia="仿宋_GB2312" w:cs="Times New Roman"/>
          <w:sz w:val="24"/>
          <w:szCs w:val="24"/>
          <w:lang w:val="en-US" w:eastAsia="zh-CN"/>
        </w:rPr>
        <w:t xml:space="preserve">                          2024年12月20 日</w:t>
      </w:r>
    </w:p>
    <w:p w14:paraId="113CE4C6">
      <w:pPr>
        <w:spacing w:line="560" w:lineRule="exact"/>
        <w:ind w:firstLine="1120" w:firstLineChars="400"/>
        <w:rPr>
          <w:rFonts w:hint="eastAsia" w:ascii="仿宋" w:hAnsi="仿宋" w:eastAsia="仿宋" w:cs="仿宋"/>
          <w:sz w:val="28"/>
          <w:szCs w:val="28"/>
        </w:rPr>
      </w:pPr>
      <w:r>
        <w:rPr>
          <w:rFonts w:hint="eastAsia" w:ascii="仿宋" w:hAnsi="仿宋" w:eastAsia="仿宋" w:cs="仿宋"/>
          <w:sz w:val="28"/>
          <w:szCs w:val="28"/>
        </w:rPr>
        <w:t xml:space="preserve">  </w:t>
      </w: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roman"/>
    <w:pitch w:val="default"/>
    <w:sig w:usb0="00000000" w:usb1="00000000" w:usb2="00000010" w:usb3="00000000" w:csb0="00040000" w:csb1="00000000"/>
  </w:font>
  <w:font w:name="华文宋体">
    <w:altName w:val="宋体"/>
    <w:panose1 w:val="00000000000000000000"/>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1620C">
    <w:pPr>
      <w:pStyle w:val="4"/>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0E2ED1">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0E2ED1">
                    <w:pPr>
                      <w:pStyle w:val="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8C73D">
    <w:pPr>
      <w:widowControl/>
      <w:pBdr>
        <w:bottom w:val="single" w:color="auto" w:sz="4" w:space="0"/>
      </w:pBdr>
      <w:shd w:val="clear" w:color="auto" w:fill="FFFFFF"/>
      <w:spacing w:line="560" w:lineRule="atLeast"/>
      <w:ind w:firstLine="2711" w:firstLineChars="1500"/>
      <w:jc w:val="left"/>
      <w:rPr>
        <w:rFonts w:hint="eastAsia" w:ascii="仿宋" w:hAnsi="仿宋" w:eastAsia="仿宋" w:cs="仿宋"/>
        <w:b/>
        <w:bCs/>
        <w:color w:val="000000"/>
        <w:kern w:val="0"/>
        <w:sz w:val="18"/>
        <w:szCs w:val="18"/>
        <w:lang w:val="en-US" w:eastAsia="zh-CN"/>
      </w:rPr>
    </w:pPr>
    <w:r>
      <w:rPr>
        <w:rFonts w:hint="eastAsia" w:ascii="仿宋" w:hAnsi="仿宋" w:eastAsia="仿宋" w:cs="仿宋"/>
        <w:b/>
        <w:bCs/>
        <w:color w:val="000000"/>
        <w:kern w:val="0"/>
        <w:sz w:val="18"/>
        <w:szCs w:val="18"/>
      </w:rPr>
      <w:t>202</w:t>
    </w:r>
    <w:r>
      <w:rPr>
        <w:rFonts w:hint="eastAsia" w:ascii="仿宋" w:hAnsi="仿宋" w:eastAsia="仿宋" w:cs="仿宋"/>
        <w:b/>
        <w:bCs/>
        <w:color w:val="000000"/>
        <w:kern w:val="0"/>
        <w:sz w:val="18"/>
        <w:szCs w:val="18"/>
        <w:lang w:val="en-US" w:eastAsia="zh-CN"/>
      </w:rPr>
      <w:t>3</w:t>
    </w:r>
    <w:r>
      <w:rPr>
        <w:rFonts w:hint="eastAsia" w:ascii="仿宋" w:hAnsi="仿宋" w:eastAsia="仿宋" w:cs="仿宋"/>
        <w:b/>
        <w:bCs/>
        <w:color w:val="000000"/>
        <w:kern w:val="0"/>
        <w:sz w:val="18"/>
        <w:szCs w:val="18"/>
      </w:rPr>
      <w:t>年度</w:t>
    </w:r>
    <w:r>
      <w:rPr>
        <w:rFonts w:hint="eastAsia" w:ascii="仿宋" w:hAnsi="仿宋" w:eastAsia="仿宋" w:cs="仿宋"/>
        <w:b/>
        <w:bCs/>
        <w:color w:val="000000"/>
        <w:kern w:val="0"/>
        <w:sz w:val="18"/>
        <w:szCs w:val="18"/>
        <w:lang w:val="en-US" w:eastAsia="zh-CN"/>
      </w:rPr>
      <w:t>怀远县水利局管堤防及涵闸运管经费项目支出绩效评价报告</w:t>
    </w:r>
    <w:r>
      <w:rPr>
        <w:rFonts w:hint="eastAsia" w:ascii="仿宋" w:hAnsi="仿宋" w:eastAsia="仿宋" w:cs="仿宋"/>
        <w:b/>
        <w:bCs/>
        <w:color w:val="000000"/>
        <w:kern w:val="0"/>
        <w:sz w:val="18"/>
        <w:szCs w:val="18"/>
      </w:rPr>
      <w:t xml:space="preserve"> </w:t>
    </w:r>
    <w:r>
      <w:rPr>
        <w:rFonts w:hint="eastAsia" w:ascii="仿宋" w:hAnsi="仿宋" w:eastAsia="仿宋" w:cs="仿宋"/>
        <w:b/>
        <w:bCs/>
        <w:color w:val="000000"/>
        <w:kern w:val="0"/>
        <w:sz w:val="18"/>
        <w:szCs w:val="1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BEA5BD"/>
    <w:multiLevelType w:val="singleLevel"/>
    <w:tmpl w:val="16BEA5BD"/>
    <w:lvl w:ilvl="0" w:tentative="0">
      <w:start w:val="1"/>
      <w:numFmt w:val="decimal"/>
      <w:lvlText w:val="%1."/>
      <w:lvlJc w:val="left"/>
      <w:pPr>
        <w:tabs>
          <w:tab w:val="left" w:pos="312"/>
        </w:tabs>
      </w:pPr>
    </w:lvl>
  </w:abstractNum>
  <w:abstractNum w:abstractNumId="1">
    <w:nsid w:val="19BA3AB9"/>
    <w:multiLevelType w:val="singleLevel"/>
    <w:tmpl w:val="19BA3AB9"/>
    <w:lvl w:ilvl="0" w:tentative="0">
      <w:start w:val="2"/>
      <w:numFmt w:val="chineseCounting"/>
      <w:suff w:val="nothing"/>
      <w:lvlText w:val="（%1）"/>
      <w:lvlJc w:val="left"/>
      <w:rPr>
        <w:rFonts w:hint="eastAsia"/>
      </w:rPr>
    </w:lvl>
  </w:abstractNum>
  <w:abstractNum w:abstractNumId="2">
    <w:nsid w:val="1A4EBDD9"/>
    <w:multiLevelType w:val="singleLevel"/>
    <w:tmpl w:val="1A4EBDD9"/>
    <w:lvl w:ilvl="0" w:tentative="0">
      <w:start w:val="1"/>
      <w:numFmt w:val="chineseCounting"/>
      <w:lvlText w:val="(%1)"/>
      <w:lvlJc w:val="left"/>
      <w:pPr>
        <w:tabs>
          <w:tab w:val="left" w:pos="312"/>
        </w:tabs>
      </w:pPr>
      <w:rPr>
        <w:rFonts w:hint="eastAsia"/>
      </w:rPr>
    </w:lvl>
  </w:abstractNum>
  <w:abstractNum w:abstractNumId="3">
    <w:nsid w:val="7F88C8D0"/>
    <w:multiLevelType w:val="singleLevel"/>
    <w:tmpl w:val="7F88C8D0"/>
    <w:lvl w:ilvl="0" w:tentative="0">
      <w:start w:val="1"/>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NzVjYTVjMjMzNmM2Mzk0ZDQxN2ZjZjA3ZDdmMGQifQ=="/>
  </w:docVars>
  <w:rsids>
    <w:rsidRoot w:val="00433B5E"/>
    <w:rsid w:val="00433B5E"/>
    <w:rsid w:val="00593490"/>
    <w:rsid w:val="008848A5"/>
    <w:rsid w:val="00BB73CF"/>
    <w:rsid w:val="00C95404"/>
    <w:rsid w:val="00D459A3"/>
    <w:rsid w:val="00F172E3"/>
    <w:rsid w:val="011A24F4"/>
    <w:rsid w:val="01AD3849"/>
    <w:rsid w:val="01CC142F"/>
    <w:rsid w:val="02177E04"/>
    <w:rsid w:val="026220AC"/>
    <w:rsid w:val="02A831A2"/>
    <w:rsid w:val="02EB239A"/>
    <w:rsid w:val="02EB4DB0"/>
    <w:rsid w:val="02F96C46"/>
    <w:rsid w:val="02FB42A5"/>
    <w:rsid w:val="03BB1AB2"/>
    <w:rsid w:val="03CA0201"/>
    <w:rsid w:val="03CA1FAF"/>
    <w:rsid w:val="040E6340"/>
    <w:rsid w:val="041D6583"/>
    <w:rsid w:val="0427765C"/>
    <w:rsid w:val="04390EE3"/>
    <w:rsid w:val="0458297F"/>
    <w:rsid w:val="052069CE"/>
    <w:rsid w:val="055D53EC"/>
    <w:rsid w:val="05A1693D"/>
    <w:rsid w:val="05E76ED4"/>
    <w:rsid w:val="066927A1"/>
    <w:rsid w:val="069C40D7"/>
    <w:rsid w:val="06FD0228"/>
    <w:rsid w:val="07195727"/>
    <w:rsid w:val="0732440A"/>
    <w:rsid w:val="0764271A"/>
    <w:rsid w:val="077E1898"/>
    <w:rsid w:val="08005A40"/>
    <w:rsid w:val="08581C30"/>
    <w:rsid w:val="08765411"/>
    <w:rsid w:val="08C47915"/>
    <w:rsid w:val="092843F1"/>
    <w:rsid w:val="092A0706"/>
    <w:rsid w:val="09F23A02"/>
    <w:rsid w:val="0A921402"/>
    <w:rsid w:val="0B0266B6"/>
    <w:rsid w:val="0B34440D"/>
    <w:rsid w:val="0B350DE8"/>
    <w:rsid w:val="0B6379F7"/>
    <w:rsid w:val="0DD52B76"/>
    <w:rsid w:val="0E1D5B0A"/>
    <w:rsid w:val="0E4B63E2"/>
    <w:rsid w:val="0E636972"/>
    <w:rsid w:val="0EDD528C"/>
    <w:rsid w:val="0EFF025E"/>
    <w:rsid w:val="0FFF77E8"/>
    <w:rsid w:val="10CA42EC"/>
    <w:rsid w:val="116B048D"/>
    <w:rsid w:val="11781BB6"/>
    <w:rsid w:val="11955B04"/>
    <w:rsid w:val="11BE5B47"/>
    <w:rsid w:val="121921E1"/>
    <w:rsid w:val="130A128E"/>
    <w:rsid w:val="13737F6D"/>
    <w:rsid w:val="13AC11DA"/>
    <w:rsid w:val="1410640B"/>
    <w:rsid w:val="148278AB"/>
    <w:rsid w:val="14AD6CA4"/>
    <w:rsid w:val="14C05230"/>
    <w:rsid w:val="15480228"/>
    <w:rsid w:val="159F0DA2"/>
    <w:rsid w:val="15F9400B"/>
    <w:rsid w:val="16715732"/>
    <w:rsid w:val="16771BCA"/>
    <w:rsid w:val="173C4B1A"/>
    <w:rsid w:val="17E256C1"/>
    <w:rsid w:val="17F440D2"/>
    <w:rsid w:val="18564F55"/>
    <w:rsid w:val="185D623C"/>
    <w:rsid w:val="18616D12"/>
    <w:rsid w:val="18B93F20"/>
    <w:rsid w:val="19696F4D"/>
    <w:rsid w:val="19A7724C"/>
    <w:rsid w:val="1A82066E"/>
    <w:rsid w:val="1A8B2040"/>
    <w:rsid w:val="1B083691"/>
    <w:rsid w:val="1B4B4399"/>
    <w:rsid w:val="1BD45C69"/>
    <w:rsid w:val="1E2E4A86"/>
    <w:rsid w:val="1F9A383D"/>
    <w:rsid w:val="2010196E"/>
    <w:rsid w:val="2014250D"/>
    <w:rsid w:val="20AF6BF1"/>
    <w:rsid w:val="210A4F98"/>
    <w:rsid w:val="21470C8B"/>
    <w:rsid w:val="21B5723B"/>
    <w:rsid w:val="220A23E4"/>
    <w:rsid w:val="233E0FD0"/>
    <w:rsid w:val="236A65E4"/>
    <w:rsid w:val="23835431"/>
    <w:rsid w:val="24261DBA"/>
    <w:rsid w:val="24771887"/>
    <w:rsid w:val="24B11B8E"/>
    <w:rsid w:val="25816046"/>
    <w:rsid w:val="25EE60F1"/>
    <w:rsid w:val="264B04A7"/>
    <w:rsid w:val="264F7170"/>
    <w:rsid w:val="265D41FA"/>
    <w:rsid w:val="269A0614"/>
    <w:rsid w:val="27015200"/>
    <w:rsid w:val="27A40C9E"/>
    <w:rsid w:val="2831714D"/>
    <w:rsid w:val="28A64B17"/>
    <w:rsid w:val="28B637BE"/>
    <w:rsid w:val="29342F22"/>
    <w:rsid w:val="295D3F3E"/>
    <w:rsid w:val="2968464B"/>
    <w:rsid w:val="29F77266"/>
    <w:rsid w:val="29FA2D3E"/>
    <w:rsid w:val="2A3F70B0"/>
    <w:rsid w:val="2A532496"/>
    <w:rsid w:val="2AB54EB7"/>
    <w:rsid w:val="2ACD3F13"/>
    <w:rsid w:val="2ADD3583"/>
    <w:rsid w:val="2B4104F9"/>
    <w:rsid w:val="2B9B2E7E"/>
    <w:rsid w:val="2BE66A67"/>
    <w:rsid w:val="2C3E31E1"/>
    <w:rsid w:val="2CBC7852"/>
    <w:rsid w:val="2CFB60AE"/>
    <w:rsid w:val="2D766B80"/>
    <w:rsid w:val="2DE14B3C"/>
    <w:rsid w:val="30295693"/>
    <w:rsid w:val="30E6238B"/>
    <w:rsid w:val="318C6E2C"/>
    <w:rsid w:val="32B6787C"/>
    <w:rsid w:val="32D243A2"/>
    <w:rsid w:val="33C5616B"/>
    <w:rsid w:val="33E65093"/>
    <w:rsid w:val="348C0A37"/>
    <w:rsid w:val="34E94505"/>
    <w:rsid w:val="353F67A0"/>
    <w:rsid w:val="354237EC"/>
    <w:rsid w:val="35DD6E58"/>
    <w:rsid w:val="35E161D4"/>
    <w:rsid w:val="35FC0FEF"/>
    <w:rsid w:val="35FD74DC"/>
    <w:rsid w:val="36592B9B"/>
    <w:rsid w:val="36AF6097"/>
    <w:rsid w:val="376753FD"/>
    <w:rsid w:val="38521F98"/>
    <w:rsid w:val="38D06F18"/>
    <w:rsid w:val="390831EC"/>
    <w:rsid w:val="394B0D41"/>
    <w:rsid w:val="395B01D5"/>
    <w:rsid w:val="39700D19"/>
    <w:rsid w:val="398C2D5E"/>
    <w:rsid w:val="39BC1D61"/>
    <w:rsid w:val="39C3492C"/>
    <w:rsid w:val="3AAD274A"/>
    <w:rsid w:val="3AB01669"/>
    <w:rsid w:val="3AC44135"/>
    <w:rsid w:val="3BE63279"/>
    <w:rsid w:val="3C7C1D83"/>
    <w:rsid w:val="3C882549"/>
    <w:rsid w:val="3CAD59EE"/>
    <w:rsid w:val="3CF96E86"/>
    <w:rsid w:val="3DB22D9B"/>
    <w:rsid w:val="3DF5764D"/>
    <w:rsid w:val="3DFF04CC"/>
    <w:rsid w:val="3ED40D01"/>
    <w:rsid w:val="3F0B662D"/>
    <w:rsid w:val="404E11B5"/>
    <w:rsid w:val="40CB441E"/>
    <w:rsid w:val="40CF1BD4"/>
    <w:rsid w:val="40EC44E6"/>
    <w:rsid w:val="4105229D"/>
    <w:rsid w:val="412B7DAA"/>
    <w:rsid w:val="41326E0A"/>
    <w:rsid w:val="42096D67"/>
    <w:rsid w:val="42310C62"/>
    <w:rsid w:val="42C722F0"/>
    <w:rsid w:val="43574906"/>
    <w:rsid w:val="444B5F40"/>
    <w:rsid w:val="448B659B"/>
    <w:rsid w:val="448C05DF"/>
    <w:rsid w:val="44B71B00"/>
    <w:rsid w:val="45401875"/>
    <w:rsid w:val="45FD7C97"/>
    <w:rsid w:val="465D0D29"/>
    <w:rsid w:val="47040901"/>
    <w:rsid w:val="474C5C0C"/>
    <w:rsid w:val="47F720A4"/>
    <w:rsid w:val="486A0301"/>
    <w:rsid w:val="499C1A26"/>
    <w:rsid w:val="49B47770"/>
    <w:rsid w:val="49DE18DD"/>
    <w:rsid w:val="4ADA281F"/>
    <w:rsid w:val="4B1D6435"/>
    <w:rsid w:val="4B635B85"/>
    <w:rsid w:val="4B95246F"/>
    <w:rsid w:val="4C123DA1"/>
    <w:rsid w:val="4C2C6367"/>
    <w:rsid w:val="4CD765BC"/>
    <w:rsid w:val="4D281794"/>
    <w:rsid w:val="4D3F3DDA"/>
    <w:rsid w:val="4D876309"/>
    <w:rsid w:val="4E115E69"/>
    <w:rsid w:val="4E192EE4"/>
    <w:rsid w:val="4ED9026B"/>
    <w:rsid w:val="4F075432"/>
    <w:rsid w:val="4F55619D"/>
    <w:rsid w:val="4F697E9B"/>
    <w:rsid w:val="5068439E"/>
    <w:rsid w:val="508807F5"/>
    <w:rsid w:val="50C73CF7"/>
    <w:rsid w:val="50F65572"/>
    <w:rsid w:val="5177786D"/>
    <w:rsid w:val="51B73C98"/>
    <w:rsid w:val="51C45A63"/>
    <w:rsid w:val="51E50788"/>
    <w:rsid w:val="524254E9"/>
    <w:rsid w:val="528212A5"/>
    <w:rsid w:val="53B31822"/>
    <w:rsid w:val="542816FC"/>
    <w:rsid w:val="549239F0"/>
    <w:rsid w:val="549459BA"/>
    <w:rsid w:val="558E6908"/>
    <w:rsid w:val="55A47409"/>
    <w:rsid w:val="55F5199E"/>
    <w:rsid w:val="56691308"/>
    <w:rsid w:val="569F3362"/>
    <w:rsid w:val="56CD37E1"/>
    <w:rsid w:val="572B3988"/>
    <w:rsid w:val="57EE718F"/>
    <w:rsid w:val="582924E0"/>
    <w:rsid w:val="58466693"/>
    <w:rsid w:val="58537FC0"/>
    <w:rsid w:val="58BA6A91"/>
    <w:rsid w:val="58EE7685"/>
    <w:rsid w:val="597933D0"/>
    <w:rsid w:val="598029E5"/>
    <w:rsid w:val="59AB40C6"/>
    <w:rsid w:val="5AB346C0"/>
    <w:rsid w:val="5B251675"/>
    <w:rsid w:val="5BEB3DDA"/>
    <w:rsid w:val="5C6F3C6B"/>
    <w:rsid w:val="5CB81FAE"/>
    <w:rsid w:val="5E5E4C48"/>
    <w:rsid w:val="5EEE4EC3"/>
    <w:rsid w:val="5F16340A"/>
    <w:rsid w:val="5F1B7024"/>
    <w:rsid w:val="5FBA3DFB"/>
    <w:rsid w:val="60A273FB"/>
    <w:rsid w:val="61A71B7A"/>
    <w:rsid w:val="622A5268"/>
    <w:rsid w:val="63260125"/>
    <w:rsid w:val="63400ABB"/>
    <w:rsid w:val="63CD67F3"/>
    <w:rsid w:val="63E458EA"/>
    <w:rsid w:val="644F6D15"/>
    <w:rsid w:val="648F7063"/>
    <w:rsid w:val="64D42282"/>
    <w:rsid w:val="64F64327"/>
    <w:rsid w:val="65102440"/>
    <w:rsid w:val="651A5FD7"/>
    <w:rsid w:val="658B24C1"/>
    <w:rsid w:val="65AF1157"/>
    <w:rsid w:val="6647487D"/>
    <w:rsid w:val="66644DA3"/>
    <w:rsid w:val="66645CD8"/>
    <w:rsid w:val="67673ED9"/>
    <w:rsid w:val="67CC74C1"/>
    <w:rsid w:val="680F2547"/>
    <w:rsid w:val="6876179C"/>
    <w:rsid w:val="687D688E"/>
    <w:rsid w:val="68A85138"/>
    <w:rsid w:val="69025709"/>
    <w:rsid w:val="6A2A3187"/>
    <w:rsid w:val="6A422BEB"/>
    <w:rsid w:val="6AB1521D"/>
    <w:rsid w:val="6AD86EB6"/>
    <w:rsid w:val="6B0220BF"/>
    <w:rsid w:val="6B1E1463"/>
    <w:rsid w:val="6B39651C"/>
    <w:rsid w:val="6BB41665"/>
    <w:rsid w:val="6C281322"/>
    <w:rsid w:val="6C554A5F"/>
    <w:rsid w:val="6D8A12B0"/>
    <w:rsid w:val="6D8A6CA3"/>
    <w:rsid w:val="6DA72590"/>
    <w:rsid w:val="6F0230C8"/>
    <w:rsid w:val="6F2A2D4B"/>
    <w:rsid w:val="6FE37012"/>
    <w:rsid w:val="70587444"/>
    <w:rsid w:val="70967F6C"/>
    <w:rsid w:val="70A049F5"/>
    <w:rsid w:val="70ED2F83"/>
    <w:rsid w:val="71531FC2"/>
    <w:rsid w:val="71997D14"/>
    <w:rsid w:val="71BD592D"/>
    <w:rsid w:val="71D9079B"/>
    <w:rsid w:val="71F30107"/>
    <w:rsid w:val="71FD0ADE"/>
    <w:rsid w:val="7266334B"/>
    <w:rsid w:val="730114D3"/>
    <w:rsid w:val="73BC703B"/>
    <w:rsid w:val="743750AA"/>
    <w:rsid w:val="74565612"/>
    <w:rsid w:val="746F3611"/>
    <w:rsid w:val="74AC4202"/>
    <w:rsid w:val="74AD175A"/>
    <w:rsid w:val="762C472F"/>
    <w:rsid w:val="76CF0104"/>
    <w:rsid w:val="771A36A5"/>
    <w:rsid w:val="773618D5"/>
    <w:rsid w:val="774046CB"/>
    <w:rsid w:val="77C6382D"/>
    <w:rsid w:val="783F3821"/>
    <w:rsid w:val="786945E7"/>
    <w:rsid w:val="7906625D"/>
    <w:rsid w:val="790C34C1"/>
    <w:rsid w:val="79170DCE"/>
    <w:rsid w:val="796A56F7"/>
    <w:rsid w:val="79986240"/>
    <w:rsid w:val="799B33E0"/>
    <w:rsid w:val="79AC25AE"/>
    <w:rsid w:val="7A2A2335"/>
    <w:rsid w:val="7AED07C1"/>
    <w:rsid w:val="7B9A6B62"/>
    <w:rsid w:val="7C660C62"/>
    <w:rsid w:val="7CCD22F0"/>
    <w:rsid w:val="7D186265"/>
    <w:rsid w:val="7D622E53"/>
    <w:rsid w:val="7DEF0220"/>
    <w:rsid w:val="7E191DC9"/>
    <w:rsid w:val="7E305DDB"/>
    <w:rsid w:val="7E690AAD"/>
    <w:rsid w:val="7E855DAD"/>
    <w:rsid w:val="7F1A34A0"/>
    <w:rsid w:val="7F30300C"/>
    <w:rsid w:val="7F413799"/>
    <w:rsid w:val="7F914269"/>
    <w:rsid w:val="7FD659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afterLines="0"/>
    </w:pPr>
  </w:style>
  <w:style w:type="paragraph" w:styleId="3">
    <w:name w:val="Body Text Indent 2"/>
    <w:basedOn w:val="1"/>
    <w:qFormat/>
    <w:uiPriority w:val="0"/>
    <w:pPr>
      <w:spacing w:after="120" w:line="480" w:lineRule="auto"/>
      <w:ind w:left="420" w:leftChars="200"/>
    </w:pPr>
    <w:rPr>
      <w:rFonts w:ascii="Calibri" w:hAnsi="Calibri" w:eastAsia="宋体" w:cs="Times New Roman"/>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Body Text First Indent"/>
    <w:basedOn w:val="2"/>
    <w:qFormat/>
    <w:uiPriority w:val="0"/>
    <w:pPr>
      <w:ind w:firstLine="420" w:firstLineChars="100"/>
    </w:p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WPSOffice手动目录 1"/>
    <w:qFormat/>
    <w:uiPriority w:val="0"/>
    <w:rPr>
      <w:rFonts w:ascii="Times New Roman" w:hAnsi="Times New Roman" w:eastAsia="宋体" w:cs="Times New Roman"/>
      <w:lang w:val="en-US" w:eastAsia="zh-CN" w:bidi="ar-SA"/>
    </w:r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4519</Words>
  <Characters>4678</Characters>
  <Lines>73</Lines>
  <Paragraphs>20</Paragraphs>
  <TotalTime>72</TotalTime>
  <ScaleCrop>false</ScaleCrop>
  <LinksUpToDate>false</LinksUpToDate>
  <CharactersWithSpaces>4847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2021-11-23T08:21:00Z</dcterms:created>
  <dc:creator>Administrator</dc:creator>
  <cp:lastModifiedBy>肖必伟</cp:lastModifiedBy>
  <dcterms:modified xsi:type="dcterms:W3CDTF">2025-01-08T03:11:46Z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1F5F67462C94466E876947A12E7FD81B</vt:lpwstr>
  </property>
  <property fmtid="{D5CDD505-2E9C-101B-9397-08002B2CF9AE}" pid="4" name="KSOTemplateDocerSaveRecord">
    <vt:lpwstr>eyJoZGlkIjoiOWEwNzVjYTVjMjMzNmM2Mzk0ZDQxN2ZjZjA3ZDdmMGQiLCJ1c2VySWQiOiI2NTA3NTgwMDgifQ==</vt:lpwstr>
  </property>
</Properties>
</file>